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ATAS/681/2021 vom 24. Juni 2021</w:t>
      </w:r>
    </w:p>
    <w:p>
      <w:r>
        <w:t>GE Cour de justice, 2021-06-24, FR</w:t>
      </w:r>
    </w:p>
    <w:p>
      <w:r>
        <w:rPr>
          <w:b/>
        </w:rPr>
        <w:t xml:space="preserve">Quelle: </w:t>
      </w:r>
      <w:r>
        <w:t>https://mcp.opencaselaw.ch/entscheid/ge_gerichte_ATAS_681_2021</w:t>
      </w:r>
    </w:p>
    <w:p>
      <w:r>
        <w:t>FR: GE_GERICHTE ATAS/681/2021 du 24 juin 2021</w:t>
      </w:r>
    </w:p>
    <w:p>
      <w:r>
        <w:t>IT: GE_GERICHTE ATAS/681/2021 del 24 giugno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A/3965/2020 - 4/9 -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À teneur de l'art. 1 al. 1 LACI, les dispositions de la LPGA, entrées en vigueur le 1er janvier 2003, s’appliquent à l’assurance-chômage obligatoire et à l’indemnité en cas d’insolvabilité, à moins que la loi n'y déroge expressément.</w:t>
      </w:r>
    </w:p>
    <w:p>
      <w:r>
        <w:rPr>
          <w:b/>
        </w:rPr>
        <w:t>E. 3</w:t>
      </w:r>
    </w:p>
    <w:p>
      <w:r>
        <w:t>À titre préalable, il convient d’examiner le grief soulevé par l’intimée, indiquant que l’opposition étant tardive, la démarche de l’intéressé doit être considérée comme une demande de reconsidération à laquelle a abouti la décision querellée. Le recourant admet ne pas être en mesure d’établir avoir envoyé dans le délai de 30 jours, le courrier daté du 17 décembre 2018, mais reçu par la caisse en date du 17 octobre 2020. a. Il incombe à la personne assurée de prouver que les documents qu’il a envoyés à l’autorité ont réellement été envoyés et qu’ils l’ont été à temps. Cela vaut notamment pour les IPA, comme par exemple aussi pour les preuves des recherches personnelles d’emploi (Boris RUBIN, op. cit., n. 314 et 1116 s.). La jurisprudence est rigoureuse. En cas d’envoi par la Poste, c’est la date de la remise du pli à la Poste suisse qui fait foi (art. 39 al. 1 LPGA), date correspondant à celle du sceau postal en vertu d’une présomption néanmoins susceptible d’être renversée, par témoignage, des photos (arrêts du Tribunal fédéral 9C_478/2017 du</w:t>
      </w:r>
    </w:p>
    <w:p>
      <w:r>
        <w:rPr>
          <w:b/>
        </w:rPr>
        <w:t>E. 5</w:t>
      </w:r>
    </w:p>
    <w:p>
      <w:r>
        <w:t>Le litige porte sur le point de savoir si le recourant peut justifier d'une période de cotisations de 12 mois au moins pendant les deux ans précédant son inscription au chômage.</w:t>
      </w:r>
    </w:p>
    <w:p>
      <w:r>
        <w:rPr>
          <w:b/>
        </w:rPr>
        <w:t>E. 6</w:t>
      </w:r>
    </w:p>
    <w:p>
      <w:r>
        <w:t>En vertu de l’art. 8 al. 1 LACI, l’assuré a droit à l’indemnité de chômage, entre autres, s’il remplit les conditions relatives à la période de cotisation ou en est libéré (let. e).</w:t>
      </w:r>
    </w:p>
    <w:p>
      <w:r>
        <w:rPr>
          <w:b/>
        </w:rPr>
        <w:t>E. 7</w:t>
      </w:r>
    </w:p>
    <w:p>
      <w:r>
        <w:t>L’art. 9 LACI prévoit que les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w:t>
      </w:r>
    </w:p>
    <w:p>
      <w:r>
        <w:rPr>
          <w:b/>
        </w:rPr>
        <w:t>E. 8</w:t>
      </w:r>
    </w:p>
    <w:p>
      <w:r>
        <w:t>a. Selon l’art. 13 al. 1 LACI, celui qui, dans les limites du délai-cadre prévu à cet effet (art. 9 al. 3), a exercé durant douze mois au moins une activité soumise à cotisation, remplit les conditions relatives à la période de cotisation. b. Le but de l'art. 13 LACI est de n'accorder le droit à l'indemnité en principe qu'aux personnes qui ont travaillé et qui ont ainsi contribué au financement de l'assurance (al. 1). Seuls certains motifs de libération de la condition relative à la période de cotisation permettent de déroger à ce principe (art. 14 LACI) (Boris RUBIN, Commentaire de la loi sur l’assurance-chômage, 2014, n. 2 ad art. 13 LACI). c. Pour qu'un assuré remplisse les conditions relatives à la période de cotisation au sens de l'art. 13 al. 1 LACI, il faut qu'il ait eu le statut de travailleur et qu'il puisse</w:t>
      </w:r>
    </w:p>
    <w:p>
      <w:r>
        <w:t>A/3965/2020 - 7/9 - démontrer avoir exercé une activité soumise à cotisation pendant douze mois au moins durant le délai-cadre relatif à la période de cotisation (RUBIN, op cit., n. 8 ad art. 13 LACI). La notion de travailleur salarié correspond au statut défini à l'art. 2 al. 1 let. a LACI, à savoir celui de travailleur obligatoirement assuré selon la LAVS et devant payer des cotisations sur le revenu d'une activité dépendante en vertu de la LAVS (RUBIN, op cit., n. 9 ad art. 13 LACI). L’art. 10 LPGA, auquel renvoie l’art. 2 al. 1 let. a LACI, dispose qu’est réputé salarié celui qui fournit un travail dépendant et qui reçoit pour ce travail un salaire déterminant au sens des lois spéciales. Au sens de l’art. 5 al. 1, 1ère phrase, de la loi fédérale sur l'assurance-vieillesse et survivants, du 20 décembre 1946 (LAVS – RS 831.10), le salaire déterminant comprend toute rémunération pour un travail dépendant, fourni pour un temps déterminé ou indéterminé. Font partie de cette rémunération toutes les sommes touchées par le salarié si leur versement est économiquement lié au contrat de travail (ATF 133 V 153 consid. 3.1). En revanche, si les rétributions ne présentent aucune relation directe sur le plan juridique et économique avec la prestation de travail, elles n’entrent pas dans le salaire déterminant (Michel VALTERIO, Droit de l’assurance-vieillesse et survivants (AVS) et de l’assurance-invalidité (AI), Commentaire thématique, 2011, n. 325, p. 105). d. Sont considérés comme sans activité lucrative au sens de l’art. 10 al. 1 LAVS, les assurés qui n’exercent aucune activité lucrative (ch. 2003 des Directives sur les cotisations des travailleurs indépendants et des personnes sans activité lucrative dans l’AVS, AI et APG [ci-après : DIN]). Une activité est dite lucrative, lorsqu’elle est exercée dans l’intention de réaliser un revenu et d’augmenter la capacité de rendement économique (ch. 2004 des DIN). e. Aux termes de l’art. 1a al. 2 let. a LAVS, « ne sont pas assurés : a. les ressortissants étrangers qui bénéficient de privilèges et d'immunités, conformément aux règles du droit international public ». Les fonctionnaires internationaux étrangers ne sont pas assurés à l’AVS/AI/APG/AC et ne peuvent pas y adhérer volontairement (arrêt du Tribunal fédéral C 297/06 du 15 mars 2007, ATF 133 V 233). Sauf disposition contraire de l’Accord avec l’UE, resp. de l’AELE ou d’une convention de sécurité sociale, les ressortissants étrangers qui jouissent de privilèges et d’immunités conformément aux règles du droit international public sont exemptés de l’AVS/AI/APG et AC obligatoire (art. 1a al. 2 let. a LAVS; art. 1b RAVS) (VSI 1993 p. 72).</w:t>
      </w:r>
    </w:p>
    <w:p>
      <w:r>
        <w:rPr>
          <w:b/>
        </w:rPr>
        <w:t>E. 9</w:t>
      </w:r>
    </w:p>
    <w:p>
      <w:r>
        <w:t>a. L’art. 14 al. 1 LACI prévoit que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 formation scolaire, reconversion ou perfectionnement professionnel, à la condition qu’elles aient été domiciliées en Suisse pendant dix</w:t>
      </w:r>
    </w:p>
    <w:p>
      <w:r>
        <w:t>A/3965/2020 - 8/9 - ans au moins (let. a) ; maladie, accident ou maternité (art. 5 LPGA), à la condition qu’elles aient été domiciliées en Suisse pendant la période correspondante (let. b) ; séjour dans un établissement suisse de détention ou d’éducation au travail, ou dans une institution suisse de même nature (let. c).</w:t>
      </w:r>
    </w:p>
    <w:p>
      <w:r>
        <w:rPr>
          <w:b/>
        </w:rPr>
        <w:t>E. 10</w:t>
      </w:r>
    </w:p>
    <w:p>
      <w:r>
        <w:t>Dans le domaine des assurances sociales, le juge fonde sa décision, sauf disposition contraire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w:t>
      </w:r>
    </w:p>
    <w:p>
      <w:r>
        <w:rPr>
          <w:b/>
        </w:rPr>
        <w:t>E. 11</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 122 V 162 consid. 1d).</w:t>
      </w:r>
    </w:p>
    <w:p>
      <w:r>
        <w:rPr>
          <w:b/>
        </w:rPr>
        <w:t>E. 12</w:t>
      </w:r>
    </w:p>
    <w:p>
      <w:r>
        <w:t>mois.</w:t>
      </w:r>
    </w:p>
    <w:p>
      <w:r>
        <w:rPr>
          <w:b/>
        </w:rPr>
        <w:t>E. 13</w:t>
      </w:r>
    </w:p>
    <w:p>
      <w:r>
        <w:t>Au vu de ce qui précède, le recours est mal fondé et doit être rejeté.</w:t>
      </w:r>
    </w:p>
    <w:p>
      <w:r>
        <w:rPr>
          <w:b/>
        </w:rPr>
        <w:t>E. 14</w:t>
      </w:r>
    </w:p>
    <w:p>
      <w:r>
        <w:t>Pour le surplus la procédure est gratuite (art. 61 let. a LPGA et 89H LPA).</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