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ATAS/681/2016 vom 29. August 2016</w:t>
      </w:r>
    </w:p>
    <w:p>
      <w:r>
        <w:t>GE Cour de justice, 2016-08-29, FR</w:t>
      </w:r>
    </w:p>
    <w:p>
      <w:r>
        <w:rPr>
          <w:b/>
        </w:rPr>
        <w:t xml:space="preserve">Quelle: </w:t>
      </w:r>
      <w:r>
        <w:t>https://mcp.opencaselaw.ch/entscheid/ge_gerichte_ATAS_681_2016</w:t>
      </w:r>
    </w:p>
    <w:p>
      <w:r>
        <w:t>FR: GE_GERICHTE ATAS/681/2016 du 29 août 2016</w:t>
      </w:r>
    </w:p>
    <w:p>
      <w:r>
        <w:t>IT: GE_GERICHTE ATAS/681/2016 del 29 agosto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11 novembre 1988, d’autre part le 15 septembre 2015, date à laquelle le jugement de divorce est devenu exécutoire.</w:t>
      </w:r>
    </w:p>
    <w:p>
      <w:r>
        <w:rPr>
          <w:b/>
        </w:rPr>
        <w:t>E. 4</w:t>
      </w:r>
    </w:p>
    <w:p>
      <w:r>
        <w:t>Selon les documents produits, la prestation acquise pendant le mariage par le demandeur est de CHF 1'750'673.20, auprès de J______, prévoyance K______, tandis que celle acquise par la demanderesse est de CHF 15'885.97 (soit CHF 4'529.92 auprès de la Fondation institution supplétive LPP, CHF 3'994.- auprès d’AXA assurances SA et CHF 7'632.05 auprès d’Avenirplus, Fondation de libre passage), les intérêts ayant déjà été calculés par les institutions de prévoyance défenderesses. Ainsi le demandeur doit à son ex-épouse le montant de CHF 875'336.60 (CHF 1'750'673.20 : 2) et celle-ci doit à celui-là le montant de CHF 7'942.98 (CHF : 15'885.97 : 2), de sorte que c’est le demandeur qui doit à la demanderesse le montant de CHF 867'393.62. Selon les indications de la demanderesse, ce montant lui sera transféré sur son compte auprès de la Fondation institution supplétive LPP.</w:t>
      </w:r>
    </w:p>
    <w:p>
      <w:r>
        <w:t>A/300/2016 5/6</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A/300/2016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