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ATAS/681/2010 vom 30. November 2009</w:t>
      </w:r>
    </w:p>
    <w:p>
      <w:r>
        <w:t>GE Cour de justice, 2009-11-30, FR</w:t>
      </w:r>
    </w:p>
    <w:p>
      <w:r>
        <w:rPr>
          <w:b/>
        </w:rPr>
        <w:t xml:space="preserve">Quelle: </w:t>
      </w:r>
      <w:r>
        <w:t>https://mcp.opencaselaw.ch/entscheid/ge_gerichte_ATAS_681_2010</w:t>
      </w:r>
    </w:p>
    <w:p>
      <w:r>
        <w:t>FR: GE_GERICHTE ATAS/681/2010 du 30 novembre 2009</w:t>
      </w:r>
    </w:p>
    <w:p>
      <w:r>
        <w:t>IT: GE_GERICHTE ATAS/681/2010 del 30 novembre 2009</w:t>
      </w:r>
    </w:p>
    <w:p>
      <w:pPr>
        <w:pStyle w:val="Heading2"/>
      </w:pPr>
      <w:r>
        <w:t>Regeste</w:t>
      </w:r>
    </w:p>
    <w:p>
      <w:r>
        <w:t>Résumé: Si un cas de prévoyance survient comme en l'espèce avant l'entrée en force du jugement de divorce, alors le partage de la prestation de sortie n'est plus possible. Dans ces circonstances, il appartient au juge du divorce de fixer le montant d'une indemnité équitable. Il n'appartient pas au juge des assurances sociales de se substituer au juge du divorce.</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w:t>
      </w:r>
    </w:p>
    <w:p>
      <w:r>
        <w:t>A/325/2010 3/5 à la prestation de sortie et à l'avoir de libre passage existant au moment de la conclusion du mariage les intérêts dus au moment du divorce (ATF 128 V 230; ATF 129 V 444).</w:t>
      </w:r>
    </w:p>
    <w:p>
      <w:r>
        <w:rPr>
          <w:b/>
        </w:rPr>
        <w:t>E. 3</w:t>
      </w:r>
    </w:p>
    <w:p>
      <w:r>
        <w:t>Le partage de la prestation de sortie n'est cependant plus possible lorsqu’un cas de prévoyance (invalidité, décès, vieillesse) est survenu pour la personne assurée avant le divorce : conformément à l’art. 122 al. 1 CC, aucun cas de prévoyance ne doit être survenu pour l’un ou l’autre des conjoints.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w:t>
      </w:r>
    </w:p>
    <w:p>
      <w:r>
        <w:rPr>
          <w:b/>
        </w:rPr>
        <w:t>E. 4</w:t>
      </w:r>
    </w:p>
    <w:p>
      <w:r>
        <w:t>En l'espèce, la demanderesse a été mise au bénéfice d'une demi-rente AI à partir du mois de janvier 2008. Le cas de prévoyance étant survenu avant l'entrée en force du jugement de divorce, soit avant le 21 janvier 2010, le partage de la prestation de sortie accumulée pendant la durée du mariage n'est plus possible. C'est du reste la raison pour laquelle le juge du divorce a entendu accorder une indemnité équitable. Cependant, en lieu et place de prévoir avec précision le montant de l'indemnité équitable, il l'a fixé à "la moitié des éventuels avoirs du demandeur accumulés pendant la durée du mariage" et a renvoyé la cause au Tribunal de céans pour l'établir. C'est oublier que la fixation de l'indemnité équitable au sens de l'art. 124 CC relève de la compétence exclusive du juge du divorce et ne laisse pas place à l'intervention du juge des assurances sociales (cf. à cet égard ATF B 48/06 du 8 mars 2007, consid. 3).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 Dans un cas de prévoyance lié à l'invalidité, il faut également tenir compte de l'éventualité d'une augmentation</w:t>
      </w:r>
    </w:p>
    <w:p>
      <w:r>
        <w:t>A/325/2010 4/5 ultérieure du taux d'invalidité du débiteur et du besoin de prévoyance consécutif de ce dernier (ATF 129 III 481 consid. 3.2.3 p. 485). Force est ainsi de constater qu'il appartenait au juge civil de mener ses investigations à leur terme afin d'être en mesure de fixer précisément le montant de l'indemnité équitable. Il y a toutefois lieu de constater qu'en l'espèce le demandeur ne dispose d'aucune prestation de sortie susceptible d'être partagée. Le partage est ainsi impossible faute d'avoirs LPP. Dans la mesure où le juge civil a envisagé cette possibilité puisqu'il a expressément parlé "d'éventuels avoirs du demandeur", il ne se justifie pas de renvoyer d'office la cause à la 19ème Chambre du Tribunal de première instance afin qu'elle rende un jugement sur la question de l'indemnité compensatoire (cf. ATF 9C.388/2009 du 10 mai 2010).</w:t>
      </w:r>
    </w:p>
    <w:p>
      <w:r>
        <w:rPr>
          <w:b/>
        </w:rPr>
        <w:t>E. 5</w:t>
      </w:r>
    </w:p>
    <w:p>
      <w:r>
        <w:t>Aucun émolument ne sera perçu, la procédure étant gratuite (art. 73 al. 2 LPP et 89H al. 1 de la loi sur la procédure administrative du 12 septembre 1985.</w:t>
      </w:r>
    </w:p>
    <w:p>
      <w:r>
        <w:t>***</w:t>
      </w:r>
    </w:p>
    <w:p>
      <w:r>
        <w:t>A/325/2010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