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ATAS/680/2009 vom 28. Mai 2009</w:t>
      </w:r>
    </w:p>
    <w:p>
      <w:r>
        <w:t>GE Cour de justice, 2009-05-28, FR</w:t>
      </w:r>
    </w:p>
    <w:p>
      <w:r>
        <w:rPr>
          <w:b/>
        </w:rPr>
        <w:t xml:space="preserve">Quelle: </w:t>
      </w:r>
      <w:r>
        <w:t>https://mcp.opencaselaw.ch/entscheid/ge_gerichte_ATAS_680_2009</w:t>
      </w:r>
    </w:p>
    <w:p>
      <w:r>
        <w:t>FR: GE_GERICHTE ATAS/680/2009 du 28 mai 2009</w:t>
      </w:r>
    </w:p>
    <w:p>
      <w:r>
        <w:t>IT: GE_GERICHTE ATAS/680/2009 del 28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w:t>
      </w:r>
    </w:p>
    <w:p>
      <w:r>
        <w:t>A/3205/2008 - 7/14 -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 recourant peut prétendre une rente de l’assurance-invalidité, singulièrement celle de savoir quel est son degré d’invalidité éventuel et si, cas échéant, il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Selon la jurisprudence du Tribunal fédéral (ci-après TF, cf. ATF 132 V 65), il se justifie,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 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Le TF a toutefois reconnu qu'il existe des facteurs déterminés qui, par leur intensité et leur constance, rendent la personne incapable de fournir cet effort de volonté et a établi des critères permettant d'apprécier le caractère invalidant de troubles</w:t>
      </w:r>
    </w:p>
    <w:p>
      <w:r>
        <w:t>A/3205/2008 - 8/14 - somatoformes douloureux (cf. ATF 130 V 354 et 131 V 50),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w:t>
      </w:r>
    </w:p>
    <w:p>
      <w:r>
        <w:t>A/3205/2008 - 9/14 - ne sont pas remplis, ou du moins pas d'une manière suffisamment intense, pour conclure à une incapacité de travail (ATFA précité I 336/04, consid. 4.3). c)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w:t>
      </w:r>
    </w:p>
    <w:p>
      <w:r>
        <w:t>A/3205/2008 - 10/14 -</w:t>
      </w:r>
    </w:p>
    <w:p>
      <w:r>
        <w:rPr>
          <w:b/>
        </w:rPr>
        <w:t>E. 6</w:t>
      </w:r>
    </w:p>
    <w:p>
      <w:r>
        <w:t>En l’espèce, le recourant fait grief à l’intimé d’avoir conclu à l’absence d’atteinte invalidante et à une capacité de travail conservée, sur la base du rapport du Dr O___________. Force est cependant de constater que le rapport d'examen du Dr O___________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l'ensemble des considérations émises par le médecin examinateur a été confirmée par le psychiatre traitant du recourant, qui a admis partager les conclusions du Dr O___________ s’agissant des diagnostics et des symptômes. En d’autres termes, le Dr L___________ ne s’écarte de l’opinion du Dr O___________ qu’en ce qui concerne l’évaluation de la capacité de travail. Or, l’examen auquel s’est livré le Dr O___________ a été effectué conformément aux critères énoncés par la jurisprudence en cas de fibromyalgie. Même si l’hypothèse du Dr L___________ devait se vérifier, à savoir que le patient était effectivement en phase d’amélioration - dont le psychiatre traitant reconnaît d’ailleurs qu’elle ne pouvait être que discrète - lorsqu’il a été examiné par l’expert, cela ne suffit pas à conclure que les conditions permettant de reconnaître un caractère invalidant à la fibromyalgie auraient été remplies autrement. En effet, les diagnostics posés par le psychiatre traitant n’ont jamais été d’une gravité plus sévère. Or, un trouble anxieux et dépressif mixte ne saurait constituer une comorbidité suffisante au sens de la jurisprudence rappelée supra.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 comme on l’a vu ci-avant. Il n’y a donc pas lieu de s’écarter des conclusions de l’expertise du Dr O___________. En revanche, il sied de relever qu’outre la fibromyalgie, le recourant souffre également d’une discarthrose et d’une uncarthrose avec diminution du calibre des trous de conjugaison dont il a été précisé qu’elles pouvaient être à l’origine du syndrome radiculaire bilatéral cervico-brachial, d’une ostéochondrose dans le cadre</w:t>
      </w:r>
    </w:p>
    <w:p>
      <w:r>
        <w:t>A/3205/2008 - 11/14 - d’une ancienne maladie Scheuermann avec discarthrose débutante étagée plus importante à la hauteur L5-S1, d’une raideur de la colonne lombaire, une protrusion discale postéro-latérale droite L3-L4 et d’une protrusion discale circulaire L5-S1. Ces troubles ont pu être objectivés et entraînent un certain nombre de limitations, notamment le fait de devoir éviter de se lever et de se baisser fréquemment et le port de lourdes charges, dont il est apparu qu’elles ont empêché le recourant de continuer à assumer son poste. Dans ces conditions, il eût fallu considérer que l’activité précédemment exercée n’était plus exigible de l’assuré, dont il faut considérer par ailleurs qu’il a conservé une capacité de travail entière, mais dans un poste adapté à ces limitations et procéder à un calcul du degré d’invalidité en conséquence.</w:t>
      </w:r>
    </w:p>
    <w:p>
      <w:r>
        <w:rPr>
          <w:b/>
        </w:rPr>
        <w:t>E. 7</w:t>
      </w:r>
    </w:p>
    <w:p>
      <w:r>
        <w:t>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w:t>
      </w:r>
    </w:p>
    <w:p>
      <w:r>
        <w:t>A/3205/2008 - 12/14 -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l’employeur de l’assuré a indiqué qu’en 2004, soit avant l’atteinte à la santé, le revenu de l’assuré s’était élevé à 78'550 fr., ce qui, après adaptation, conduit à retenir un revenu avant invalidité de 80'237 fr. en 2006 (La Vie économique 12/2008, tableau B10.3, p. 95). Quant au revenu avec invalidité, il convient de se référer aux salaires statistiques tels qu’ils découlent de l’enquête suisse sur la structure des salaires éditée par l’Office fédéral de la statistique (ESS). Au regard du large éventail d'activités simples et répétitives offertes par les secteurs de la production et des services, on doit convenir qu'un marché du travail équilibré offre un nombre significatif de postes de travail légers n'exigeant ni port de charges, ni mouvements répétitifs et pouvant être occupés sans difficulté particulière par une personne atteinte de problèmes dorsaux. Selon les données de l'ESS 2006, le revenu mensuel standardisé d'un homme exerçant une activité simple et répétitive s'élevait, tous domaines confondus, à 4’732 fr. par mois (valeur médiane). Ce montant correspond, pour un horaire de travail moyen de 41,7 heures (cf. ATF 126 V 81 consid. 7a) à un salaire annuel brut, en 2006, de 59'197 fr. 30. La comparaison des revenus conduit à un degré d’invalidité de 26.22% insuffisant pour ouvrir droit à une rente d’invalidité mais en revanche suffisant pour ouvrir droit à des mesures de réadaptation. En effet,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w:t>
      </w:r>
    </w:p>
    <w:p>
      <w:r>
        <w:t>A/3205/2008 - 13/14 -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environ (ATF 124 V 110 consid. 2b et les références). En l'espèce, force est de constater que le recourant remplit à l'évidence les conditions objectives mises à l'octroi d'un reclassement (nécessité d'un changement de profession, taux d'invalidité supérieur à 20%). Eu égard aux considérations qui précèdent, le recours est donc partiellement admis en ce sens que le droit à un reclassement est reconnu à l’assuré.</w:t>
      </w:r>
    </w:p>
    <w:p>
      <w:r>
        <w:t>A/3205/2008 - 14/14 -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