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ATAS/67/2024 vom 6. Februar 2024</w:t>
      </w:r>
    </w:p>
    <w:p>
      <w:r>
        <w:t>GE Cour de justice, 2024-02-06, FR</w:t>
      </w:r>
    </w:p>
    <w:p>
      <w:r>
        <w:rPr>
          <w:b/>
        </w:rPr>
        <w:t xml:space="preserve">Quelle: </w:t>
      </w:r>
      <w:r>
        <w:t>https://mcp.opencaselaw.ch/entscheid/ge_gerichte_ATAS_67_2024</w:t>
      </w:r>
    </w:p>
    <w:p>
      <w:r>
        <w:t>FR: GE_GERICHTE ATAS/67/2024 du 6 février 2024</w:t>
      </w:r>
    </w:p>
    <w:p>
      <w:r>
        <w:t>IT: GE_GERICHTE ATAS/67/2024 del 6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La novelle du 21 juin 2019 de la loi fédérale sur la partie générale du droit des assurances sociales du 6 octobre 2000 (LPGA - RS 830.1) est entrée en vigueur le 1er janvier 2021. Dans la mesure où le présent recours n’était pas pendant à cette date, il est soumis au nouveau droit (art. 82a LPGA).</w:t>
      </w:r>
    </w:p>
    <w:p>
      <w:r>
        <w:rPr>
          <w:b/>
        </w:rPr>
        <w:t>E. 2.2</w:t>
      </w:r>
    </w:p>
    <w:p>
      <w:r>
        <w:t>Quant aux modifications du 19 juin 2020 de la loi fédérale sur l’assurance- invalidité du 19 juin 1959 (LAI - RS 831.20), entrées en vigueur le 1er janvier 2022, elles sont applicables. En effet, en cas de changement de règles de droit, la législation applicable est en principe celle en vigueur au moment où les faits juridiquement déterminants se sont produits (ATF 144 V 210 consid. 4.3.1). Les dispositions de la LAI seront ainsi citées dans leur teneur actuelle. Déposé dans les forme et délai prévus par la loi (art. 56ss LPGA), le recours est recevable.</w:t>
      </w:r>
    </w:p>
    <w:p>
      <w:r>
        <w:rPr>
          <w:b/>
        </w:rPr>
        <w:t>E. 3</w:t>
      </w:r>
    </w:p>
    <w:p>
      <w:r>
        <w:t>Le litige porte sur la question de savoir si à la suite de la demande de révision de la recourante, l’intimé était en droit de réduire sa rente à 1/4 ou si la recourante était fondée à prétendre à une rente d’invalidité entière.</w:t>
      </w:r>
    </w:p>
    <w:p>
      <w:r>
        <w:rPr>
          <w:b/>
        </w:rPr>
        <w:t>E. 3.1</w:t>
      </w:r>
    </w:p>
    <w:p>
      <w:r>
        <w:t>; ATF 137 V 334 consid. 3.2 ; ATF 125 V 146 consid. 2c ainsi que les références).</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3.3</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3.4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3.5</w:t>
      </w:r>
    </w:p>
    <w:p>
      <w:r>
        <w:t>L’évaluation du taux d’invalidité des assurés exerçant une activité lucrative est régie par l’art. 16 LPGA (art. 28a al. 1 ab initio).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w:t>
      </w:r>
    </w:p>
    <w:p>
      <w:r>
        <w:t>A/2698/2023 - 7/11 - lucrative à temps partiel (…),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w:t>
      </w:r>
    </w:p>
    <w:p>
      <w:r>
        <w:rPr>
          <w:b/>
        </w:rPr>
        <w:t>E. 3.6</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3.7</w:t>
      </w:r>
    </w:p>
    <w:p>
      <w:r>
        <w:t>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ATF 141 V 15 consid.</w:t>
      </w:r>
    </w:p>
    <w:p>
      <w:r>
        <w:rPr>
          <w:b/>
        </w:rPr>
        <w:t>E. 3.8</w:t>
      </w:r>
    </w:p>
    <w:p>
      <w:r>
        <w:t>Selon l’art. 27bis RAI en vigueur depuis le 1er janvier 2018, pour les personnes qui exercent une activité lucrative à temps partiel et accomplissent par ailleurs des travaux habituels visés à l'art. 7 al. 2 de la loi, le taux d'invalidité est</w:t>
      </w:r>
    </w:p>
    <w:p>
      <w:r>
        <w:t>A/2698/2023 - 8/11 - déterminé par l'addition des taux suivants : a. le taux d'invalidité en lien avec l'activité lucrative ; b. le taux d'invalidité en lien avec les travaux habituels (al. 2).</w:t>
      </w:r>
    </w:p>
    <w:p>
      <w:r>
        <w:rPr>
          <w:b/>
        </w:rPr>
        <w:t>E. 3.9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3.10</w:t>
      </w:r>
    </w:p>
    <w:p>
      <w:r>
        <w:t>Enfin en vertu de l’art. 28b LAI, l’assuré a droit à une rente entière s’il est invalide à 70% au moins.</w:t>
      </w:r>
    </w:p>
    <w:p>
      <w:r>
        <w:rPr>
          <w:b/>
        </w:rPr>
        <w:t>E. 3.11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la recourante a sollicité le réexamen de ses droits au vu de l’aggravation de son état de santé. Cette aggravation, confirmée par son médecin traitant, a été admise par le SMR. La recourante ne bénéficie plus que d’une capacité de travail de 20%, au lieu de 50%, et cette part n’est pas exigible, raison pour laquelle l’intimé a retenu que l’assurée ne jouissait plus de capacité de travail sur sa part active.</w:t>
      </w:r>
    </w:p>
    <w:p>
      <w:r>
        <w:rPr>
          <w:b/>
        </w:rPr>
        <w:t>E. 4.2</w:t>
      </w:r>
    </w:p>
    <w:p>
      <w:r>
        <w:t>La recourante conteste la modification du statut mixte, 40% active, 60% ménagère, qui a eu pour effet, malgré l’aggravation de son état de santé, de la priver d’un quart de rente. Elle sollicite l’octroi d’une pleine rente sur la base d’un statut, active 90% et 10% ménagère, et d’une invalidité de 100% dans la part active.</w:t>
      </w:r>
    </w:p>
    <w:p>
      <w:r>
        <w:rPr>
          <w:b/>
        </w:rPr>
        <w:t>E. 4.3</w:t>
      </w:r>
    </w:p>
    <w:p>
      <w:r>
        <w:t>Dans le questionnaire statut, la recourante a indiqué avoir réduit son temps de travail pour des raisons familiales avec effet en 2013. Elle a par la suite continué à travailler à un taux de 40%, à raison de deux jours plein par semaine, alors qu’elle était déjà maman de quatre enfants, son dernier fils étant né le 11 juillet 2017. À la fin de son congé parental, elle a donné sa démission en raison de l’aggravation de son état de santé, avec effet au 8 décembre 2018. Elle a exposé, lors de l’audience</w:t>
      </w:r>
    </w:p>
    <w:p>
      <w:r>
        <w:t>A/2698/2023 - 9/11 - de comparution personnelle, qu’elle avait alors encore l’espoir que son état de santé pouvait s’améliorer, ce qui ne fût pas le cas. Au contraire, en 2022, son médecin a dû constater que malgré une pompe à insuline, le diabète de sa patiente était plus difficile à gérer. En outre, la recourante a dû subir plusieurs interventions aux mains dont deux opérations des doigts en novembre 2021, et a souffert du COVID-19 en janvier 2022. À la lecture du questionnaire statut, l’on constate que l’assurée a indiqué que des raisons médicales l’avaient conduite à renoncer à son dernier emploi. Malgré ces informations, dans l’avis du SMR, le médecin-conseil a indiqué que l’assurée avait quitté son emploi pour s’occuper des siens en 2018 « semble-t-il ». Le rédacteur du mandat de réadaptation du 16 janvier 2023 reprend cette impression en mentionnant que l’assurée avait quitté son emploi en 2018, après son congé parental, pour s’occuper de ses enfants. Rien au dossier à ce stade de l’instruction ne permettait cependant de retenir que le choix de la recourante avait été dicté par des raisons familiales plutôt que des raisons de santé. Au contraire de son choix de réduire son temps de travail de 50% à 40% en 2013, la recourante a indiqué avoir dû quitter en fin de compte son emploi en raison de l’aggravation de son état de santé, aggravation établie et d’ailleurs reconnue par le médecin du SMR. S’il est exact que la recourante a donné naissance à trois enfants depuis la décision initiale reconnaissant une invalidité de 50%, force est de constater que la recourante a continué à mettre à profit sa capacité de travail restante (50% aux HUG) après la naissance de ses deux premiers fils, nés respectivement le 2 juin 2006 et le 18 février 2010, puis a poursuivi à 40% (alors qu’elle ne disposait que d’une capacité de travail de 50%) lorsque le troisième enfant est né. Elle a ainsi renoncé à 10% de son taux et non à 60%. En mettant à profit sa capacité de travail réduite jusqu’en 2018, soit jusqu’à ce que son état de santé se soit aggravé, la recourante a démontré la volonté qui était la sienne de travailler bien qu’elle avait des enfants en bas âge. Le fait qu’elle n’ait pas demandé la révision de la rente en 2018 est compatible avec le fait qu’elle espérait que sa santé s’améliorerait. Elle a subi plusieurs opérations et s’est fait poser une pompe à insuline, ce qui pouvait accroitre son espoir d’amélioration. Elle a expliqué, et cela apparaît cohérent avec son historique familial et les besoins de sa famille vivant au bénéfice d’un seul salaire, qu’elle aurait repris son activité professionnelle sans atteinte à la santé. Par ailleurs, en août 2021 son dernier enfant a été scolarisé, ce qui donnait concrètement plus de liberté à la recourante pour travailler. Pour ces raisons, l’on doit croire la recourante lorsqu’elle indique qu’en l’absence d’atteinte à la santé, elle aurait eu une activité professionnelle à tout le moins à 90%. Le fait qu’elle a quatre enfants ne saurait suffire à remettre en cause les explications de la recourante sur sa volonté de travailler et ce d’autant moins qu’à partir de 2021, son dernier enfant a commencé sa scolarité.</w:t>
      </w:r>
    </w:p>
    <w:p>
      <w:r>
        <w:t>A/2698/2023 - 10/11 - Enfin, ce qui a été indiqué par l’enquêtrice est contesté par la recourante qui a de manière convaincante expliqué ce qu’elle a compris de cet entretien. À la lecture de la première partie de l’enquête, il apparaît que la recourante a indiqué en cochant les cases idoines qu’elle a renoncé à son emploi (alors à 40%) pour des raisons médicales et que, sans atteinte à la santé, elle aurait conservé son emploi. La motivation de l’enquêtrice, contestée dans ses termes par la recourante, semble ainsi en contradiction avec les cases cochées en tête du formulaire. L’on relèvera en plus que la recourante ne disposait que d’une capacité de travail de 50% depuis 2008, de sorte qu’il apparaît très vraisemblable qu’elle ait répondu à l’enquêtrice en fonction de sa capacité de travail restante au moment où elle a quitté son emploi à 40%. L’on retiendra en conséquence que si la recourante avait bénéficié d’une pleine capacité de travail, elle l’aurait mise à profit à 90% comme cette dernière l’affirme de manière convaincante et comme cela ressort des faits appréciés ci- dessus. Le statut retenu en 2009, active à 100%, doit être modifié en ce sens que la part active est de 90% et la part ménagère de 10%. Dans ces circonstances et vu l’aggravation de l’état de santé de la recourante qui ne dispose plus de capacité de travail exigible dans la part active, il se justifie de modifier son droit à la rente.</w:t>
      </w:r>
    </w:p>
    <w:p>
      <w:r>
        <w:rPr>
          <w:b/>
        </w:rPr>
        <w:t>E. 5</w:t>
      </w:r>
    </w:p>
    <w:p>
      <w:r>
        <w:t>Le degré d’invalidité étant désormais de 90%, la recourante a droit à une pleine rente. Le recours est admis et la décision attaquée annulée. La recourante qui obtient gain de cause et qui est assistée d’une avocate a droit à des dépens qui seront fixés à CHF 2'500.- à la charge de l’intimé, en sus des émoluments de procédure de CHF 200.-.</w:t>
      </w:r>
    </w:p>
    <w:p>
      <w:r>
        <w:t>A/2698/2023 - 11/11 -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