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ATAS/67/2020 vom 31. Januar 2020</w:t>
      </w:r>
    </w:p>
    <w:p>
      <w:r>
        <w:t>GE Cour de justice, 2020-01-31, FR</w:t>
      </w:r>
    </w:p>
    <w:p>
      <w:r>
        <w:rPr>
          <w:b/>
        </w:rPr>
        <w:t xml:space="preserve">Quelle: </w:t>
      </w:r>
      <w:r>
        <w:t>https://mcp.opencaselaw.ch/entscheid/ge_gerichte_ATAS_67_2020</w:t>
      </w:r>
    </w:p>
    <w:p>
      <w:r>
        <w:t>FR: GE_GERICHTE ATAS/67/2020 du 31 janvier 2020</w:t>
      </w:r>
    </w:p>
    <w:p>
      <w:r>
        <w:t>IT: GE_GERICHTE ATAS/67/2020 del 31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A/4513/2017 - 11/23 -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al. 1 LPGA et art. 62 al. 1 let. a de la loi sur la procédure administrative du 12 septembre 1985 [LPA-GE - E 5 10]). Interjeté dans la forme et le délai prévus par la loi, le recours est ainsi recevable (art. 56 ss LPGA et 62 ss LPA-GE).</w:t>
      </w:r>
    </w:p>
    <w:p>
      <w:r>
        <w:rPr>
          <w:b/>
        </w:rPr>
        <w:t>E. 3</w:t>
      </w:r>
    </w:p>
    <w:p>
      <w:r>
        <w:t>Le litige porte sur le droit de l’intéressé à des prestations AI, et singulièrement sur son degré d’invalidité et le calcul du montant de sa rente.</w:t>
      </w:r>
    </w:p>
    <w:p>
      <w:r>
        <w:rPr>
          <w:b/>
        </w:rPr>
        <w:t>E. 4</w:t>
      </w:r>
    </w:p>
    <w:p>
      <w:r>
        <w:t>Le recours, interjeté dans les délai et forme légaux, est recevable (art. 56ss LPGA).</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w:t>
      </w:r>
    </w:p>
    <w:p>
      <w:r>
        <w:t>A/4513/2017 - 12/23 - 112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A/4513/2017 - 13/23 -</w:t>
      </w:r>
    </w:p>
    <w:p>
      <w:r>
        <w:rPr>
          <w:b/>
        </w:rPr>
        <w:t>E. 8</w:t>
      </w:r>
    </w:p>
    <w:p>
      <w:r>
        <w:t>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du Tribunal fédéral 9C_1022/2012 du 16 mai 2013 consid. 3.2).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I.666/81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et la référence citée).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Cette disposition ne s'applique pas tant qu'un droit à la rente n'est pas ouvert au regard des conditions de l'art. 28 al. 1 let. b LAI (arrêt du Tribunal fédéral 9C_302/2015 du 18 septembre 2015).</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A/4513/2017 - 14/23 -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w:t>
      </w:r>
    </w:p>
    <w:p>
      <w:r>
        <w:t>A/4513/2017 - 15/23 -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a. Selon l'art. 36 al. 2 LAI, les dispositions de la LAVS sont applicables par analogie au calcul des rentes ordinaires (voir à ce propos ATF 124 V 159) ; le Conseil fédéral peut édicter des prescriptions complémentaires. b. Aux termes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c. La durée de cotisations est réputée complète lorsqu'une personne présente le même nombre d'années de cotisation que les assurés de sa classe d'âge (art. 29ter al. 1 LAVS). Sont considérées comme années de cotisation les périodes : a) pendant lesquelles une personne a payé des cotisations; b) pendant lesquelles son conjoint au sens de l'art. 3 al. 3 LAVS a versé au moins le double de la cotisation minimale; c) pour lesquelles des bonifications pour tâches éducatives ou pour tâches d'assistance peuvent être prises en compte (art. 29ter al. 2 LAVS). d. Le revenu annuel moyen se compose, conformément à l'art. 29quater LAVS : des revenus de l'activité lucrative, des bonifications pour tâches éducatives et des bonifications pour tâches d'assistance. Sont pris en considération les revenus d'une activité lucrative sur lesquels des cotisations ont été versées (art. 29quinquies LAVS).</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A/4513/2017 - 16/23 -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12</w:t>
      </w:r>
    </w:p>
    <w:p>
      <w:r>
        <w:t>a. En l’espèce, l'intéressé souffre principalement d'une rupture de la coiffe des rotateurs à droite, ayant entraîné une incapacité de travail depuis le 9 octobre 2013, opérée en octobre 2014 et compliquée d’une épaule gelée. Se fondant sur les conclusions du Dr E_____ du 10 décembre 2015, l’OAI a considéré que la capacité de travail dans l’activité habituelle était nulle, mais qu’elle était dans une activité adaptée, de 50% dès avril 2015 et de 100% dès novembre 2015, les limitations fonctionnelles étant les suivantes : pas de port de charges ou de sollicitations répétées du membre supérieur droit, pas d'activité avec les membres supérieurs au-dessus de l’horizontal, ou nécessitant la montée ou la descente d’escaliers/escabeaux. b. L’intéressé conteste la capacité de travail retenue par l'OAI, et fait valoir une aggravation de son état de santé, soit une atteinte aux deux épaules, survenue antérieurement à la notification de la décision du 12 octobre 2017 et attestée par le Dr E_____ dans son rapport du 7 novembre 2017. c. La chambre de céans constate toutefois que le Dr E_____ se borne à indiquer que l'intéressé se plaint à présent « de douleurs bilatérales surtout à droite ». Il confirme une capacité de travail nulle dans l’activité habituelle de peintre et continue à préconiser une reconversion professionnelle. Il est vrai que dans son rapport du 18 février 2016, le SMR ne mentionne que l’épaule gauche, les limitations fonctionnelles décrites en décembre 2015 concernaient cependant déjà « toute activité avec les membres supérieurs à l'horizontal ».</w:t>
      </w:r>
    </w:p>
    <w:p>
      <w:r>
        <w:t>A/4513/2017 - 17/23 - Par conséquent, la chambre de céans retiendra que la capacité de travail de l'intéressé dans une activité adaptée est de 50% dès avril 2015 et de 100% dès novembre 2015. Le recours sera rejeté sur ce point.</w:t>
      </w:r>
    </w:p>
    <w:p>
      <w:r>
        <w:rPr>
          <w:b/>
        </w:rPr>
        <w:t>E. 13</w:t>
      </w:r>
    </w:p>
    <w:p>
      <w:r>
        <w:t>a. Sur cette base, l'OAI a reconnu le droit de l’intéressé à une rente entière d’invalidité d’octobre 2014 à juin 2015 et à un quart de rente de juillet 2015 à janvier 2016. Il a pris en considération une durée de cotisations de deux ans et onze mois pour calculer le montant de la rente. L’intéressé allègue qu’il est venu en Suisse en juillet 2002 et y a séjourné depuis sans interruption. Il considère, partant, qu'il est assuré obligatoirement à l’AVS conformément à l’art. 1a al. 1 let. a LAVS. b. Selon l'article 1a al. 1 LAVS, en corrélation avec l'art. 1b LAI, sont obligatoirement assurées à l'AVS et à l'AI les personnes physiques domiciliées en Suisse (let. a), les personnes physiques qui exercent en Suisse une activité lucrative (let. b), ainsi que les ressortissants suisses qui travaillent à l'étranger au service de la Confédération, de certaines organisations internationales et d'entraide privées (let. c). Sauf exceptions, ces personnes sont également obligatoirement assurées contre les accidents (art. 1a al. 1 LAA). La nature de l'activité exercée importe peu : le gain soumis à cotisations peut aussi bien provenir d'une activité licite que d'une activité illicite, en particulier d'un « travail au noir ». Le ressortissant étranger qui travaille illégalement en Suisse est donc aussi soumis à l'assurance obligatoire (ATF 118 V 79 consid. 2 p. 81 et les références). Le défaut de l'autorisation de travail exigée par le droit public n'exclut pas le droit à des prestations de l'assurance-invalidité fédérale (ATF 118 V 79 consid. 5 p. 86).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Selon les directives concernant les rentes (DR) de l’assurance vieillesse, survivants et invalidité fédérale, nos 5005 à 5008, est considérée comme durée de cotisations la période durant laquelle une personne était soumise à l’obligation de cotiser et pour laquelle des revenus ou des bonifications pour tâches éducatives ou pour tâches d’assistance peuvent lui être attribués. La période durant laquelle une personne n’a pas été soumise à l’assurance au sens des art. 1a et art. 2 LAVS et de l’art. 1a LAI n’est pas considérée comme une période de cotisations. c. Il s’agit en l’espèce de déterminer si l’intéressé est domicilié en Suisse depuis 2002. Selon l'art. 13 LPGA, applicable par renvoi des art. 1 al. 1 et 4 al. 1 LPC ainsi que l'art. 1A LPCC, le domicile d'une personne est déterminé selon les art. 23 à 26 du</w:t>
      </w:r>
    </w:p>
    <w:p>
      <w:r>
        <w:t>A/4513/2017 - 18/23 - code civil du 10 décembre 1907 (CC; RS 210 ; al. 1) ; une personne est réputée avoir sa résidence habituelle au lieu où elle séjourne un certain temps même si la durée de ce séjour est d'emblée limitée (al. 2). Le domicile de toute personne est au lieu où elle réside avec l'intention de s'y établir (art. 23 al. 1 CC) et est conservé aussi longtemps que celle-ci ne s'en est pas créé un nouveau (art. 24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(arrêt du Tribunal fédéral 9C 747/2015 du 12 mai 2016). Selon l'art. 23 al. 1 2ème phrase CC, le séjour dans un hôpital ne constitue pas en soi le domicile. 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p. 117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p. 182; voir également arrêt 9C_729/2014 du 16 avril 2015 consid. 3 ; arrêt du Tribunal fédéral 9C 283/2015 du 11 septembre 2015).</w:t>
      </w:r>
    </w:p>
    <w:p>
      <w:r>
        <w:t>A/4513/2017 - 19/23 - 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arrêts du Tribunal fédéral des assurances K 34/04 du 2 août 2005 consid. 3 et K 38/01 du 24 décembre 2002 consid. 6 non publié in ATF 129 V 77). Une notion de droit civil reprise en droit des assurances sociales peut cependant s'interpréter différemment (cf. ATF 130 V 404 consid. 5.1 p. 404 s.). A cet égard, le Tribunal fédéral a déjà certes retenu que la condition relative à la volonté d'une personne de s'établir durablement en un lieu n'était pas remplie lorsqu'il existait des empêchements de droit public (cf. notamment ATF 113 V 261 consid. 2b p. 264 s., 105 V 136 consid. 2a et 2b p. 137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 d. Il est vrai, ainsi que le relève la caisse, que l’intéressé ne figure ni au registre de l’OCPM, ni dans les bases de données de l’office cantonal de l’emploi. Il convient toutefois de rappeler que l'intéressé était précisément sans papiers à Genève. La caisse s'étonne également que l'intéressé allègue vivre à Genève depuis 2002, alors qu’il lui a remis une déclaration officielle, selon laquelle il vit en ménage commun avec son épouse et ses trois enfants à Gjila, que cette adresse figure également sur le certificat de mariage des époux, enregistré en janvier 2007, et que les enfants sont scolarisés à Pristina pour l'années 2016-2017. Il y a lieu de répéter ici que l’intéressé était sans papiers à Genève, et qu’il n’a jamais nié que sa famille vivait quant à elle au Kosovo. La caisse ne comprend pas non plus que l’intéressé n’ait transmis aucune pièce justificative quant à ses affirmations, telles que ses contrats de bail à loyer, ses contrats de travail, ses bulletins de salaire ou encore ses polices ou primes d’assurance maladie. Il paraît toutefois particulièrement compliqué, voire impossible, pour une personne résidant en Suisse illicitement, de produire les documents dont la caisse aurait souhaité la production, raison pour laquelle l’intéressé n’a été en mesure de produire qu’un certificat médical délivré par les urgences des HUG le 16 mai 2003, et un courrier du Contrôle des chantiers de la construction attestant d’un contrôle effectué le 26 juillet 2004. Il n’est pas contesté que l'intéressé entretenait financièrement les membres de sa famille avec lesquels il avait maintenu des liens étroits. Une telle constatation ne fait cependant aucunement obstacle au fait qu'il vivait à Genève pour y travailler. Il est ainsi parfaitement compréhensible qu'il se soit sacrifié pour ses enfants en particulier, afin que ceux-ci puissent bénéficier d’une bonne scolarité et de soins. De même peut-on admettre qu'il n'ait osé demander un permis de séjour que dans le</w:t>
      </w:r>
    </w:p>
    <w:p>
      <w:r>
        <w:t>A/4513/2017 - 20/23 - cadre de l’opération dite Papyrus en janvier 2015 et qu'il ait alors saisi cette opportunité de se régulariser. S’occuper de sa famille financièrement n’était pas de nature à l’empêcher de créer des liens sociaux et professionnels à Genève. Du reste, contrairement à ce que la caisse a indiqué, l’intéressé comprend et s’exprime très bien en français, ce que la chambre de céans a pu constater lors de l’audience de comparution personnelle des parties. Il résulte des témoignages entendus par la chambre de céans lors de l’audience du 5 février 2019, ainsi que des attestations produites, que l'intéressé a vécu à Genève depuis 2002, en sous-location jusqu'en 2017, date à laquelle il loue enfin une chambre à son nom. Il a par ailleurs obtenu son permis de séjour en septembre 2018, grâce au programme Papyrus, dans le cadre duquel il a dû justifier d'un séjour en Suisse d'une durée de 10 ans. L’intéressé reconnait s’être parfois rendu au Kosovo pour des périodes de quelques semaines. Le fait de se rendre régulièrement au Kosovo, même pour plusieurs semaines, pour voir sa famille, ne saurait toutefois, au vu de la jurisprudence, être un obstacle à la constitution d’un domicile en Suisse. La chambre de céans est en conséquence d’avis, que l’intéressé a démontré, au degré de vraisemblance requis par la jurisprudence, grâce aux témoignages entendus et aux attestations versées au dossier, qu’il s’est constitué un domicile à Genève depuis 2002. Aussi est-il assujetti à l’AVS-AI conformément à l’art. 1a al. 1 let. a LAVS depuis cette date. Le recours est admis sur ce point.</w:t>
      </w:r>
    </w:p>
    <w:p>
      <w:r>
        <w:rPr>
          <w:b/>
        </w:rPr>
        <w:t>E. 14</w:t>
      </w:r>
    </w:p>
    <w:p>
      <w:r>
        <w:t>Pour qu’une certaine période puisse être comptée comme durée de cotisations, il faut que la personne ait été assurée et qu’elle se soit acquittée personnellement de l’obligation de cotiser en versant des cotisations ou qu’elle soit encore en mesure de le faire, ou que des bonifications pour tâches éducatives ou pour tâches d’assistance puissent lui être attribuées (art. 29ter LAVS). L’intéressé a, selon ses comptes individuels, cotisé, en 2005 (deux mois), en 2008 (six mois), en 2009 (cinq mois), en 2011 (dix mois), en 2012 (cinq mois), et en 2013 (sept mois), soit au total 2 ans et 11 mois. Certes l’intéressé a-t-il indiqué qu’il avait travaillé « au noir » en 2002, 2003, 2004 et 2010. Il n’a cependant pas été en mesure de le démontrer à satisfaction de droit. On ne saurait dès lors en tenir compte. Le recours est rejeté sur ce point.</w:t>
      </w:r>
    </w:p>
    <w:p>
      <w:r>
        <w:rPr>
          <w:b/>
        </w:rPr>
        <w:t>E. 15</w:t>
      </w:r>
    </w:p>
    <w:p>
      <w:r>
        <w:t>a. L’intéressé fait valoir son droit à une bonification pour tâches éducatives durant les années 2003, 2004, 2006, 2007 et 2010. En effet, il est le père de trois enfants, nés respectivement en 1995, 1997 et 1998, et peut donc se prévaloir d’une telle bonification pour les années au cours desquelles il n’a pas atteint le revenu minimal pour comptabiliser une année entière.</w:t>
      </w:r>
    </w:p>
    <w:p>
      <w:r>
        <w:t>A/4513/2017 - 21/23 - b. Selon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ont la garde d'enfants, sans exercer l'autorité parentale (a.), un seul des parents est assuré auprès de l'assurance-vieillesse et survivants suisse (b.), les conditions pour l'attribution d'une bonification pour tâches éducatives ne sont pas remplies pendant toute l'année civile (c.), des parents divorcés ou non mariés exercent l'autorité parentale en commun (d.). Les bonifications pour tâches éducatives sont également attribuées pour les années pendant lesquelles les parents avaient la garde d'enfants, quand bien même ils ne détenaient pas l'autorité parentale sur ceux-ci (art. 52e RAVS). Concernant les années où le conjoint n'était pas assuré auprès de l'assurance-vieillesse et survivants suisse, il est prévu d'attribuer la bonification pour tâches éducatives entière au parent assuré (art. 52f al. 4 RAVS). L’autorité parentale au sens des art. 133 al. 3 et 296 à 298a du Code civil suisse du 10 décembre 1907 (CC - RS 210) constitue le point de rattachement pour la prise en compte des bonifications pour tâches éducatives. Il n’est pas indispensable que le ou les parent(s) exerce(nt) effectivement le droit de garde sur l’enfant (DR ch. 5411). En l'espèce, la caisse n’a retenu que deux bonifications pour tâches éducatives en faveur de l’intéressé. Or, l’intéressé était, au vu de ce qui précède, assuré depuis 2002 et aucun revenu n’a pu être comptabilisé en sa faveur en 2003, 2004, 2006, 2007 et 2010. Il peut dès lors prétendre à des bonifications pour tâches éducatives pour ces années-là. Le recours est admis sur ce point.</w:t>
      </w:r>
    </w:p>
    <w:p>
      <w:r>
        <w:rPr>
          <w:b/>
        </w:rPr>
        <w:t>E. 16</w:t>
      </w:r>
    </w:p>
    <w:p>
      <w:r>
        <w:t>a. L'intéressé conteste le revenu sans invalidité que l'OAI a pris en considération. b. 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384 consid. 3.4, 128 V 30 consid. 1, 104 V 136 consid. 2a et 2b; art. 28 al. 2 LAI en corrélation avec l'art. 16 LPGA). Pour procéder à la comparaison des revenus, il convient en principe de se placer au moment de la naissance du droit à la rente</w:t>
      </w:r>
    </w:p>
    <w:p>
      <w:r>
        <w:t>A/4513/2017 - 22/23 -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c. En l'espèce, c’est à juste titre que l’OAI a tenu compte de l’année 2015 pour réactualiser le revenu sans invalidité, dès lors que l’intéressé présente une capacité de travail de 50% dès avril 2015. Pour fixer le montant du revenu sans invalidité, il a fixé le revenu sans invalidité actualisé 2015 à CHF 54'489.-, tenant compte du fait que l’intéressé présente une capacité de travail de 50% dès avril 2015. Il s'est fondé sur les fiches de salaires des mois d’août, septembre et octobre 2013, soit respectivement CHF 5'478.-, CHF 5'229 et CHF 1'743.-, compte tenu des indemnités forfaitaires. Il a calculé la moyenne de ces trois montants, l’a annualisée et a obtenu le chiffre de CHF 53'950.- qu’il a actualisé. Or, ainsi que le soulève l’intéressé, ce calcul comprend le salaire réalisé en octobre 2013 durant sept jours ouvrables seulement, du fait que l’accident est survenu le 9 octobre 2013. Le calcul auquel a procédé l’OAI ne peut dès lors être confirmé. Il s’agit en effet d’établir ce que l'intéressé aurait effectivement pu réaliser au moment déterminant s'il était en bonne santé. Aussi convient-il de fixer le revenu sans invalidité en tenant compte du salaire d’octobre 2013 auquel l’intéressé aurait pu prétendre s’il n’avait pas été victime d’un accident le 9 octobre 2013. Le recours est admis sur ce point.</w:t>
      </w:r>
    </w:p>
    <w:p>
      <w:r>
        <w:rPr>
          <w:b/>
        </w:rPr>
        <w:t>E. 17</w:t>
      </w:r>
    </w:p>
    <w:p>
      <w:r>
        <w:t>Au vu de ce qui précède, le recours sera partiellement admis. La cause est renvoyée à l’OAI pour nouveau calcul du montant de la rente dans le sens des considérants et nouvelle décision. Le recourant étant représenté par un avocat et obtenant gain de cause, une indemnité de CHF 2'000.- lui sera accordée à titre de participation à ses frais et dépens (art. 61 let. g LPGA ; art. 6 du règlement sur les frais, émoluments et indemnités en matière administrative du 30 juillet 1986 [RFPA - E 5 10.03]).</w:t>
      </w:r>
    </w:p>
    <w:p>
      <w:r>
        <w:rPr>
          <w:b/>
        </w:rPr>
        <w:t>E. 18</w:t>
      </w:r>
    </w:p>
    <w:p>
      <w:r>
        <w:t>Eu égard au sort du recours, il y a lieu de condamner l’OAI au paiement d’un émolument de CHF 200.- (art. 69 al. 1bis LAI).</w:t>
      </w:r>
    </w:p>
    <w:p>
      <w:r>
        <w:t>A/4513/2017 - 23/23 -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