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ATAS/67/2018 vom 25. Januar 2018</w:t>
      </w:r>
    </w:p>
    <w:p>
      <w:r>
        <w:t>GE Cour de justice, 2018-01-25, FR</w:t>
      </w:r>
    </w:p>
    <w:p>
      <w:r>
        <w:rPr>
          <w:b/>
        </w:rPr>
        <w:t xml:space="preserve">Quelle: </w:t>
      </w:r>
      <w:r>
        <w:t>https://mcp.opencaselaw.ch/entscheid/ge_gerichte_ATAS_67_2018</w:t>
      </w:r>
    </w:p>
    <w:p>
      <w:r>
        <w:t>FR: GE_GERICHTE ATAS/67/2018 du 25 janvier 2018</w:t>
      </w:r>
    </w:p>
    <w:p>
      <w:r>
        <w:t>IT: GE_GERICHTE ATAS/67/2018 del 25 gennaio 2018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A/4961/2017 ATAS/67/2018 COUR DE JUSTICE Chambre des assurances sociales Arrêt du 25 janvier 2018 5ème Chambre</w:t>
      </w:r>
    </w:p>
    <w:p>
      <w:r>
        <w:t>En la cause Monsieur A______, domicilié à GENEVE</w:t>
      </w:r>
    </w:p>
    <w:p>
      <w:r>
        <w:t>recourant</w:t>
      </w:r>
    </w:p>
    <w:p>
      <w:r>
        <w:t>contre SERVICE CANTONAL D'ALLOCATIONS FAMILIALES, sis rue des Gares 12, GENEVE</w:t>
      </w:r>
    </w:p>
    <w:p>
      <w:r>
        <w:t>intimé</w:t>
      </w:r>
    </w:p>
    <w:p>
      <w:r>
        <w:t>A/4961/2017 - 2/2 - Vu la décision du 12 février 2017 du service cantonal d’allocations familiales (SCAF), compensant la somme de CHF 800.- due à titre d’allocations familiales à Monsieur A______ avec une dette du même montant de celui-ci à l’égard dudit service ; Vu la décision du 29 novembre 2017 du SCAF rejetant l’opposition de l'ayant droit; Vu le recours de l’ayant droit du 15 décembre 2017 concluant à l’annulation de cette décision et au versement de la somme de CHF 800.- ; Attendu que, dans sa réponse du 15 janvier 2018, l’intimé a reconnu devoir au recourant la somme de CHF 800.- et s’est engagé à la lui verser d’ici au 18 janvier 2018 ; Que l’intimé a ainsi réformé sa décision sur opposition du 29 novembre 2017 dans le sens que la compensation de la somme de CHF 800.- avec les prestations échues est annulée ; Qu’il convient ainsi de constater que le recours est devenu sans objet. *** PAR CES MOTIFS, LA CHAMBRE DES ASSURANCES SOCIALES : 1. Constate que le recours est devenu sans objet. 2. Raye la cause du rôle.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