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ATAS/67/2013 vom 29. Januar 2013</w:t>
      </w:r>
    </w:p>
    <w:p>
      <w:r>
        <w:t>GE Cour de justice, 2013-01-29, FR</w:t>
      </w:r>
    </w:p>
    <w:p>
      <w:r>
        <w:rPr>
          <w:b/>
        </w:rPr>
        <w:t xml:space="preserve">Quelle: </w:t>
      </w:r>
      <w:r>
        <w:t>https://mcp.opencaselaw.ch/entscheid/ge_gerichte_ATAS_67_2013</w:t>
      </w:r>
    </w:p>
    <w:p>
      <w:r>
        <w:t>FR: GE_GERICHTE ATAS/67/2013 du 29 janvier 2013</w:t>
      </w:r>
    </w:p>
    <w:p>
      <w:r>
        <w:t>IT: GE_GERICHTE ATAS/67/2013 del 29 gennaio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w:t>
      </w:r>
    </w:p>
    <w:p>
      <w:r>
        <w:rPr>
          <w:b/>
        </w:rPr>
        <w:t>E. 3</w:t>
      </w:r>
    </w:p>
    <w:p>
      <w:r>
        <w:t>Interjeté dans les forme et délai prévus par la loi, devant l'autorité compétente, le recours est en conséquence recevable (art. 56 ss LPGA).</w:t>
      </w:r>
    </w:p>
    <w:p>
      <w:r>
        <w:rPr>
          <w:b/>
        </w:rPr>
        <w:t>E. 4</w:t>
      </w:r>
    </w:p>
    <w:p>
      <w:r>
        <w:t>Le litige porte sur le droit de l'assurée à une allocation d'impotence de degré léger, moyen ou grave.</w:t>
      </w:r>
    </w:p>
    <w:p>
      <w:r>
        <w:rPr>
          <w:b/>
        </w:rPr>
        <w:t>E. 5</w:t>
      </w:r>
    </w:p>
    <w:p>
      <w:r>
        <w:t>a) Selon l’art. 43 bis LAVS, ont droit à l’allocation pour impotent les bénéficiaires de rentes de vieillesse qui ont leur domicile en Suisse et présentent une impotence grave ou moyenne. Le droit à l’allocation prend naissance au plus tôt dès que l’assuré a présenté une impotence grave ou moyenne sans interruption durant une année au moins. La LAI s’applique par analogie à l’évaluation de l’impotence. Il incombe aux offices de l’assurance-invalidité de fixer le taux d’impotence à l’intention des caisses de compensation. Selon l’art. 84 LAVS, les décisions et les décisions sur opposition prises par les caisses cantonales de compensation peuvent faire l’objet d’un recours devant le tribunal des assurances du canton où la caisse de compensation a son siège. b) L'art 17 LPGA al. 1 dispose que si le taux d’invalidité du bénéficiaire de la rente subit une modification notable, la rente est, d’office ou sur demande, révisée pour l’avenir, à savoir augmentée ou réduite en conséquence, ou encore supprimée. L'al 2 précise que, de même, toute prestation durable accordée en vertu d’une décision entrée en force est, d’office ou sur demande, augmentée ou réduite en conséquence, ou encore supprimée si les circonstances dont dépendait son octroi changent notablement (al. 2).</w:t>
      </w:r>
    </w:p>
    <w:p>
      <w:r>
        <w:t>A/3201/2012 - 8/18 -</w:t>
      </w:r>
    </w:p>
    <w:p>
      <w:r>
        <w:rPr>
          <w:b/>
        </w:rPr>
        <w:t>E. 6</w:t>
      </w:r>
    </w:p>
    <w:p>
      <w:r>
        <w:t>a) Selon l’art. 42 LAI, les assurés impotents (art. 9 LPGA) qui ont leur domicile et leur résidence habituelle (art. 13 LPGA) en Suisse ont droit à une allocation pour impotent. L’art. 42bis est réservé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w:t>
      </w:r>
    </w:p>
    <w:p>
      <w:r>
        <w:t>A/3201/2012 - 9/18 - d)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w:t>
      </w:r>
    </w:p>
    <w:p>
      <w:r>
        <w:rPr>
          <w:b/>
        </w:rPr>
        <w:t>E. 7</w:t>
      </w:r>
    </w:p>
    <w:p>
      <w:r>
        <w:t>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w:t>
      </w:r>
    </w:p>
    <w:p>
      <w:r>
        <w:t>A/3201/2012 - 10/18 -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Concernant l’acte ordinaire de manger, il y a impotence, selon le ch. 8018 CIAA, lorsque la personne assurée ne peut pas se nourrir avec des aliments préparés normalement sans l’aide d’autrui (8C_728/2010). Un régime alimentaire (p. ex. dans le cas de diabétiques) ne justifie pas un cas d’impotence. En revanche, impotence il y a lorsque la personne assurée peut certes manger seule mais ne peut pas couper ses aliments elle-même, lorsqu’elle ne peut manger que des aliments réduits en purée ou encore lorsqu’elle ne peut les porter à sa bouche qu’avec ses doigts (RCC 1981 p. 364).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w:t>
      </w:r>
    </w:p>
    <w:p>
      <w:r>
        <w:t>A/3201/2012 - 11/18 -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w:t>
      </w:r>
    </w:p>
    <w:p>
      <w:r>
        <w:rPr>
          <w:b/>
        </w:rPr>
        <w:t>E. 8</w:t>
      </w:r>
    </w:p>
    <w:p>
      <w:r>
        <w:t>a/aa) Les notions de soins permanents et de surveillance personnelle permanente ne se rapportent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 personne assurée (ATF non publié 9C_608/2007 du 31 janvier 2008, consid. 2.2.1, ATF non publié I 231/02 du 23 janvier 2003, consid. 3, ch. 8035 CIIAI). Pour qu’elle puisse fonder un droit, la surveillance personnelle doit présenter un certain degré d’intensité. Il ne suffit pas que la personne assurée séjourne dans une institution spécialisée et se trouve sous une surveillance générale de cette institution. La question de savoir si une aide ou une surveillance personnelle permanente est nécessaire doit être tranchée de manière objective selon l’état de la personne assurée. En principe, peu importe l’environnement dans lequel celle-ci se trouve. En évaluant l’impotence, on ne saurait faire aucune différence selon que la personne vit dans sa famille, en logement privé ou dans un foyer (ATF non publié 9C_608/2007 du 31 janvier 2008, consid. 2.2.1, consid. 3, ch. 8035 CIIAI). a/bb) Le fait que la surveillance personnelle doive être permanente ne signifie pas qu’elle doive être nécessaire 24 heures sur 24. Elle s’oppose en réalité à une surveillance «passagère», par exemple suite à une maladie intercurrente (ATF non publié 9C_608/2007 du 31 janvier 2008, consid. 2.2.1, ATF non publié I 231/02 du 23 janvier 2003, consid. 3, ch. 8036 CIIAI). a/cc) On n’accordera qu’une importance minimale à la surveillance personnelle dans les cas d’impotence grave, étant donné que par définition, l’impotence grave</w:t>
      </w:r>
    </w:p>
    <w:p>
      <w:r>
        <w:t>A/3201/2012 - 12/18 - présuppose que la personne assurée dépend régulièrement de l’aide d’autrui pour l’accomplissement de tous les actes ordinaires de la vie.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[RCC 1982 p. 126]. a/dd) Une surveillance personnelle permanente est notamment nécessaire lorsque une personne ne peut être laissée seule toute la journée en raison de défaillances mentales (ATF non publié 9C_608/2007 du 31 janvier 2008, consid. 2.2.1, ATF non publié I 231/02 du 23 janvier 2003, consid. 3, ch. 8035 CIIAI), lorsqu’un tiers doit être présent toute la journée, sauf pendant de brèves interruptions, auprès de la personne assurée parce qu’elle ne peut être laissée seule (RCC 1989 p. 190, consid. 3b, 1980 p. 64, consid. 4b, voir également ch. 8020 et 8035 CIIAI), lorsqu’il est nécessaire d’administrer quotidiennement des médicaments à l’assuré ou de lui faire un bandage (MEYER, Bundesgesetz uber die Invalidenversicherung (IVG), 2010, p. 437), lorsque la personne assurée a besoin de surveillance quotidiennement ou éventuellement (de manière non prévisible) quotidiennement (ATF non publié 8C_912/2008 du 5 mars 2009, consid. 3.2.2 ; ATF non publié I 563/04 du 2 mars 2005 consid. 6.2 ; ZAK 1986 S. 484 E. 3c). S’agissant des soins permanents ou des prestations d’aide médicale ou infirmière, elles comprennent par exemple l’administration quotidienne de médicaments ou la nécessité de faire un pansement chaque jour (RCC 1980 p. 62 ; ch. 8032 CIIAI). Comme pour le besoin de surveillance, de telles prestations doivent être fournies pendant une période assez longue et non pas seulement passagèrement, par exemple en raison d’une maladie intercurrente (ch. 8033 CIIAI).</w:t>
      </w:r>
    </w:p>
    <w:p>
      <w:r>
        <w:rPr>
          <w:b/>
        </w:rPr>
        <w:t>E. 9</w:t>
      </w:r>
    </w:p>
    <w:p>
      <w:r>
        <w:t>L'art. 46 LAVS prévoit que le droit aux rentes et allocations pour impotent non touchées est réglé à l’art. 24 al. 1 LPGA, mais que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 Selon la jurisprudence, cette disposition s’applique lorsque l’assuré ne savait pas ou ne pouvait pas savoir qu’il était atteint, en raison d’un atteinte à sa santé physique ou mentale, d’une diminution de la capacité de gain dans une mesure propre à lui ouvrir droit à des prestations. Cette disposition ne concerne en revanche pas les cas où l’assuré connaissait ces faits, mais ignorait qu’ils donnent droit à une rente de l’assurance-invalidité (ATF 102 V 113 consid. 1a). Autrement dit, « les faits</w:t>
      </w:r>
    </w:p>
    <w:p>
      <w:r>
        <w:t>A/3201/2012 - 13/18 - ouvrant droit à des prestations (que) l’assuré ne pouvait connaître » sont ceux qui n’étaient objectivement pas reconnaissables, mais non ceux dont l’assuré ne pouvait subjectivement pas saisir la portée (ATF 100 V 119 consid. 2c ; RCC 1984 pp. 420 ss, consid. 1). De plus,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L'art. 41 LPGA prévoit la restitution de délai si l'assuré agit dans les 30 jours dès la cessation de l'empêchement en déposant une demande motivée de restitution de délai.</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A/3201/2012 - 14/18 - l’expert soient bien motivées. Sans remettre en cause le principe de la libre appréciation des preuves, le Tribunal fédéral a posé des lignes directrices en ce qui concerne la manière d’apprécier certains types d’expertises ou de rapports médicaux (ATF 125 V 351 consid. 3). c)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d)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t>A/3201/2012 - 15/18 -</w:t>
      </w:r>
    </w:p>
    <w:p>
      <w:r>
        <w:rPr>
          <w:b/>
        </w:rPr>
        <w:t>E. 11</w:t>
      </w:r>
    </w:p>
    <w:p>
      <w:r>
        <w:t>En l'espèce, il est désormais établi et admis par l'intimée que l'assurée a besoin d'une aide régulière et importante pour 4 actes ordinaires de la vie depuis octobre 2009, soit pour se laver, se déplacer, s'habiller et manger, la caisse ayant admis ce 4ème acte suite au recours, ce qui ouvre un droit à une allocation de degré moyen. Il sera d'ores et déjà précisé que le fait que le besoin d'aide augmente à l'intérieur d'un seul et même acte est sans conséquence. Ainsi, si l'aggravation de l'état de santé de l'assurée implique au cours du temps que l'assurée ait désormais besoin d'aide pour toutes les fonctions de certains actes, alors qu'elle n'avait auparavant besoin d'aide que pour une fonction partielle, n'est pas déterminant. Il est donc inutile de revenir sur l'importance de l'aide apportée pour chacun des actes admis, ni de déterminer si l'assurée a besoin d'aide pour se déplacer dans l'appartement puisque ce besoin est déjà admis pour l'extérieur. La fille de l'assurée soutient que sa mère a aussi besoin d'aide pour aller aux toilettes, mais qu'elle ne l'a pas exposé à l'enquêtrice par pudeur. Elle explique qu'elle doit essuyer sa mère, laver les draps souillés et changer sa culotte, voire nettoyer la cuvette des toilettes si elle n'a pas pu superviser l'acte. Le médecin confirme ce besoin, mais sur la base des seuls dires de la fille de la patiente, sans préciser si les troubles dont souffre sa patiente objectivent ces difficultés, ni expliquer pourquoi l'utilisation de protections en cas d'incontinence avérée n'est pas prévue, ce d'autant que la fille de l'assurée indique que sa mère doit uriner toutes les 45 minutes, inondant à chaque fois ses vêtements. La fille de l'assurée indique aussi que sa mère a besoin d'aide pour se lever/s'asseoir et se coucher en cas de douleurs du dos et du genou, soit presque tous les jours et d'une surveillance personnelle permanente. La question du besoin d'aide pour aller au toilettes peut provisoirement rester ouverte eu égard à ce qui suit. L'octroi d'une allocation de degré grave implique le besoin régulier et important pour tous les actes de la vie, soit 6 et, cumulativement, la nécessité d'une surveillance personnelle et/ou de soins permanents. La loi et la jurisprudence rappellent qu'il ne faut pas confondre la nécessité d'une présence pour apporter l'aide nécessaire aux actes de la vie et la surveillance personnelle. Par définition, l'assurée qui a besoin d'aide pour se déplacer à l'extérieur, se doucher, manger, s'habiller, voire aller aux toilettes nécessite la présence du tiers qui l'aide pour ces actes. Plus le nombre d'actes et de fonctions partielles de ces actes exigent de l'aide, plus cette présence est accrue. En revanche, la surveillance a pour but, à l'instar de ce qui doit être fait avec de très jeunes enfants, de surveiller l'assurée - par exemple en raison d'une atteinte psychique de type Alzheimer ou de sénilité - afin d'empêcher qu'elle ne se mette en danger ou adopte un comportement dangereux pour autrui. De même, une maladie avec un risque de défaillance rapide et imprévisible nécessitant une prompte intervention, implique qu'en l'absence d'une surveillance permanente, l'assurée serait en danger. Or, en l'espèce, il est établi que d'octobre 2009 à avril 2012, l'assurée était seule à la maison de 8h15 à 11h45 et de 13h30 à 16h en tout cas, pour autant que le petit-fils cadet soit alors rentré. Elle</w:t>
      </w:r>
    </w:p>
    <w:p>
      <w:r>
        <w:t>A/3201/2012 - 16/18 - n'était donc pas, quoi qu'en dise sa fille, surveillée en permanence à cette époque. La nécessité d'une surveillance personnelle permanente ne semble toutefois pas déterminante, puisque la caisse a admis un besoin d'aide pour les soins, soit le préparation des médicaments et la supervision pour la prise de ceux-ci trois fois par jour, ce qui est alternatif au besoin de surveillance. Toutefois, jusqu'à fin mars 2012 en tout cas, l'assurée se levait seule pour boire une tasse de lait le matin, elle se déplaçait seule dans l'appartement, se rasseyait ou se recouchait après s'être rendue plusieurs fois par jour aux toilettes, de sorte que pour cet acte-là, le besoin d'aide régulier et important ne peut pas être retenu. Durant cette même période, l'assurée se rendait seule eux toilettes, s'essuyait seule, ce qui n'exclut cependant pas qu'elle souille ses culottes, les toilettes ou ses draps si elle procède à cet acte sans aide pour s'essuyer. En tous les cas, il est établi que d'octobre 2009 à fin mars 2012, l'assurée n'avait pas besoin d'une aide importante pour se lever/s'asseoir et se coucher, ce qui suffit pour exclure l'octroi d'une allocation pour impotence grave. Ainsi, sous réserve de l'aide pour manger, cas échant l'aide pour se nettoyer après être allée aux toilettes, qui n'avaient manifestement pas été clairement exposées par la fille de l'assurée lors de l'enquête, ni indiquées par le médecin traitant avant la décision sur opposition, il faut retenir que l'enquête est probante et effectuée sérieusement, car un entretien d'une heure à domicile est suffisant pour établir les besoins d'un assuré. Sur la base des indications données et du fait que l'assurée restait seule plusieurs heures par jour, c'est à juste titre que l'enquêtrice a alors exclu le besoin d'aide pour se lever/s'asseoir et se coucher, pour aller aux toilettes et la surveillance permanente. Le besoin d'aide pour 4, voire 5 actes et pour les soins médicaux ouvre seulement le droit à une allocation pour impotence de degré moyen, conformément à ce que la caisse a admis suite au recours.</w:t>
      </w:r>
    </w:p>
    <w:p>
      <w:r>
        <w:rPr>
          <w:b/>
        </w:rPr>
        <w:t>E. 12</w:t>
      </w:r>
    </w:p>
    <w:p>
      <w:r>
        <w:t>S'agissant du début du versement de l'allocation, force est de constater que la décision est bien fondée, eu égard au texte clair de l'art. 46 LAVS. En l'espèce, la demande d'allocation pour impotent a été déposée en janvier 2012 seulement, alors que l'état de santé et le besoin d'aide étaient connus depuis octobre 2009 en tout cas, en raison du fait que l'assurée et sa fille ignoraient le droit à une telle allocation, ce qui exclut le paiement d'arriérés au-delà de douze mois avant le dépôt de la demande en janvier 2012 et ne constitue pas en un empêchement au sens de l'art 41 LPGA.</w:t>
      </w:r>
    </w:p>
    <w:p>
      <w:r>
        <w:rPr>
          <w:b/>
        </w:rPr>
        <w:t>E. 13</w:t>
      </w:r>
    </w:p>
    <w:p>
      <w:r>
        <w:t>Cela étant dit, le courrier de la fille de l'assurée du 1er septembre 2012 doit être considéré comme une demande de révision au sens de l'art. 17 LPGA, car il est clairement indiqué que l'état de santé de l'assurée s'est dégradé et justifierait depuis janvier 2012 une allocation de degré grave. Il est en tout cas établi que jusqu'à fin mars 2012, cette aggravation reste sans conséquence sur le degré d'impotence qui demeure moyen, à défaut de besoin d'aide pour se lever/s'asseoir et se coucher. Au-</w:t>
      </w:r>
    </w:p>
    <w:p>
      <w:r>
        <w:t>A/3201/2012 - 17/18 - delà, le fait que la fille de l'assurée surveille effectivement sa mère en permanence parce qu'elle est à la retraite n'est pas non plus déterminant sur le besoin avéré de surveillance, qui doit être établi par un médecin. Pour éviter toute nouvelle polémique à ce sujet, si le besoin d'aide pour les soins médicaux se confirme, la caisse pourrait renoncer à instruire la question de la surveillance. Par contre, l'instruction de la demande de révision devra précisément porter sur le besoin d'aide pour aller aux toilettes/se rhabiller/mettre seule une protection/s'essuyer (4.1.5) et pour se lever/s'asseoir/se coucher (4.1.2), étant précisé que le fait que l'assurée soit incohérente dans ses déplacement dans l'appartement voire que sa fille doivent lui dire quant et où s'asseoir relève du point 4.1.6 déjà admis (se déplacer) et non pas du point 4.1.2 (qui concerne l'aptitude physique à se lever/s'asseoir/se coucher). On conçoit aisément que la fille de l'assurée soit épuisée après s'être beaucoup occupée de sa mère tout en travaillant à plein temps durant deux ans et demi, mais les conditions légales d'octroi de l'allocation pour impotent sont strictement réglées et doivent être appliquées. On comprend aussi qu'elle soit déçue par l'absence de versement rétroactif de prestations avant janvier 2011, eu égard notamment aux bonifications AVS attendues, mais il en va de même s'agissant de l'application de la loi, étant précisé qu'elle peut tenter de faire valoir auprès de sa caisse AVS que si l'allocation n'est versées que dès janvier 2011, l'impotence de degré moyen est admise depuis octobre 2009. Surtout, il est indispensable qu'elle limite son intervention à ce qui est nécessaire et efficace et qu'elle renonce à faire de longs et inutiles développements qui nuisent à la bonne administration de la cause de sa mère. Ainsi, l'instruction de la demande de révision sera effectuée par l'OAI, qui devra interroger précisément le médecin traitant sur l'aggravation de l'état de santé et le besoin d'aide objectivement établi pour les actes 4.1.2 et 4.1.5 (voire pour la surveillance personnelle), et le cas échéant, en cas de doute, devra procéder à une nouvelle enquête à domicile, avant de déterminer si l'assurée peut prétendre et depuis quant à une allocation d'impotence de degré grave. Dans l'attente de l'issue de cette procédure de révision, l'assurée a droit à une allocation de degré moyen. De surcroit, la demande de révision excède l'objet du litige, délimité par la décision sur opposition du 31 janvier 2012.</w:t>
      </w:r>
    </w:p>
    <w:p>
      <w:r>
        <w:rPr>
          <w:b/>
        </w:rPr>
        <w:t>E. 14</w:t>
      </w:r>
    </w:p>
    <w:p>
      <w:r>
        <w:t>Le recours est partiellement admis, la décision sur opposition est annulée en tant qu'elle alloue une allocation d'impotence de degré léger à l'assurée, qui a droit à une allocation de degré moyen dès le 1er janvier 2011, sur la base du besoin d'aide pour 4, voire 5 actes ordinaires de la vie et de soins médicaux. La caisse est invitée à traiter sans délai la demande de révision, par l'entremise de l'OAI.</w:t>
      </w:r>
    </w:p>
    <w:p>
      <w:r>
        <w:t>A/3201/2012 - 18/18 -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