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ATAS/67/2011 vom 25. Januar 2011</w:t>
      </w:r>
    </w:p>
    <w:p>
      <w:r>
        <w:t>GE Cour de justice, 2011-01-25, FR</w:t>
      </w:r>
    </w:p>
    <w:p>
      <w:r>
        <w:rPr>
          <w:b/>
        </w:rPr>
        <w:t xml:space="preserve">Quelle: </w:t>
      </w:r>
      <w:r>
        <w:t>https://mcp.opencaselaw.ch/entscheid/ge_gerichte_ATAS_67_2011</w:t>
      </w:r>
    </w:p>
    <w:p>
      <w:r>
        <w:t>FR: GE_GERICHTE ATAS/67/2011 du 25 janvier 2011</w:t>
      </w:r>
    </w:p>
    <w:p>
      <w:r>
        <w:t>IT: GE_GERICHTE ATAS/67/2011 del 25 gennaio 2011</w:t>
      </w:r>
    </w:p>
    <w:p>
      <w:pPr>
        <w:pStyle w:val="Heading2"/>
      </w:pPr>
      <w:r>
        <w:t>Erwägungen</w:t>
      </w:r>
    </w:p>
    <w:p>
      <w:r>
        <w:rPr>
          <w:b/>
        </w:rPr>
        <w:t>E. 1</w:t>
      </w:r>
    </w:p>
    <w:p>
      <w:r>
        <w:t>a) 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l'objet du litige porte sur la capacité de travail de l'assuré depuis novembre 2003 et l'octroi d'une rente depuis août 2004, le dépôt de la demande datant d'août 2005. La décision dont est recours date du 4 mars 2009. La LPGA s’applique donc au cas d’espèce. Tel est également le cas des modifications de la LAI du 21 mars 2003 (4ème révision), entrées en vigueur le 1er janvier 2004 (RO 2003 3852), pour la période postérieure à cette date-ci. En revanche, les modifications de la LAI du 6 octobre 2006 (5ème révision de la LAI), entrées en vigueur le 1er janvier 2008, n'ont à être prises en considération dans le présent litige que pour les faits postérieurs au 1er janvier 2008, eu égard au principe précité selon lequel les règles applicables sont celles en vigueur au moment de la réalisation de l'état de fait dont les conséquences juridiques font l'objet de la décision.</w:t>
      </w:r>
    </w:p>
    <w:p>
      <w:r>
        <w:t>A/742/2009 - 23/32 -</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l'OAI a communiqué à l'assuré un projet de décision qui a été confirmé par la décision du 4 février 2009 contre laquelle l'assuré a interjeté directement recours devant le Tribunal de céans le 4 mars 2009.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t>A/742/2009 - 24/32 - c)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w:t>
      </w:r>
    </w:p>
    <w:p>
      <w:r>
        <w:t>A/742/2009 - 25/32 -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w:t>
      </w:r>
    </w:p>
    <w:p>
      <w:r>
        <w:t>A/742/2009 - 26/32 -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A/742/2009 - 27/32 -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w:t>
      </w:r>
    </w:p>
    <w:p>
      <w:r>
        <w:t>A/742/2009 - 28/32 - consid. 4b), la jurisprudence rendue sous l'empire de l'art. 4 aCst. étant toujours valable (ATF 124 V 94 consid. 4b, 122 V 162 consid. 1d et l'arrêt cité).</w:t>
      </w:r>
    </w:p>
    <w:p>
      <w:r>
        <w:rPr>
          <w:b/>
        </w:rPr>
        <w:t>E. 8</w:t>
      </w:r>
    </w:p>
    <w:p>
      <w:r>
        <w:t>En l'espèce, l'expertise bidisciplinaire judiciaire effectuée par des médecins spécialistes en neurologie et chirurgie orthopédique pose toute une série de diagnostics qui, globalement, ont pout conséquence une incapacité de travail totale de l'assuré dans toute activité, et ce depuis l'accident de novembre 2003 selon les experts. Les médecins du SMR, dont l'avis est repris par l'OAI, ne remettent pas en cause ces conclusions, mais font valoir qu'elles sont valables actuellement seulement, soit en 2010 et non pas en 2005 et 2006, les experts ne justifiant pas de façon documentée que les atteintes retenues existeraient déjà ou seraient déjà invalidantes lors des examens médicaux effectués par le médecin traitant (2005) et le médecin d'arrondissement de la Suva (2006), voire en 2007 lors du rapport de la neurologue mandatée. La décision de l'OAI dont est recours admet que l'assuré a été totalement incapable de travailler depuis l'accident du 7 novembre 2003 jusqu'à, au plus tard, sa sortie de la CRR le 9 février 2005. Il s'avère au vu des pièces du dossier que le matériel d'ostéosynthèse a été enlevé en juin 2005 et que c'est en mars 2006 seulement que le Dr C_________ (médecin de la SUVA) retient une capacité de travail dans une activité adaptée, la date de février 2005 mentionnée par le Dr A_________ et la CRR ne pouvant pas être retenue en raison de cette seconde intervention. La chambre des assurances sociales de la Cour estime que l'expertise bidisciplinaire a pleine valeur probante et motive de façon convaincante ses conclusions, eu égard aux autres rapports médicaux du dossier, qu'il convient ainsi de confronter, en lien avec les divers diagnostics et les limitations retenues: a) les douleurs dans le membre inférieur gauche, dont l'assuré s'est constamment plaint depuis l'accident, ont été sous évaluées et mal appréciées par les divers médecins consultés, en raison du fait, vraisemblablement, qu'ils ne trouvaient pas d'explications. Le Dr A_________ semble s’être contenté de se fonder sur le fait que l'opération, puis l'ablation du matériel s'étant faits usuellement, la situation devait être stabilisée, sans tenir nullement compte des plaintes du patient, qu'il mentionne toutefois. Le Dr C_________ retient et rappelle quant à lui l'existence des douleurs, mais ne parvient pas à les objectiver. Il admet d'ailleurs que l'incapacité de travail totale est justifiée encore après l'ostéosynthèse et jusqu'en mars 2006. La lecture attentive de ses rapports met ainsi en exergue les douleurs persistantes de l'assuré, lesquelles impliquent l'usage constant d'une canne, et ce avant et après l'ablation du matériel d'ostéosynthèse (AMO). Ce médecin-là recherche, en 2005 et en 2006 encore, les causes des douleurs par un IRM du genou, mais ne trouve rien. C'est donc finalement en faisant abstraction de ces douleurs constantes qu'il retient une pleine capacité de travail en mars 2006, dans une activité adaptée aux seules limitations fonctionnelles mécaniques. Il faut ainsi attendre que le Dr D_________ relève pour la première fois en octobre 2006 les</w:t>
      </w:r>
    </w:p>
    <w:p>
      <w:r>
        <w:t>A/742/2009 - 29/32 - troubles neurogènes pour que des examens spécialisés soient effectués par la Dresse E_________, neurologue. Les experts sont tout à fait convaincants lorsqu'ils indiquent que les atteintes des divers nerfs touchés sont des complications connues et décrites tant lors des fractures de Maisonneuve que lors des ostéosynthèses avec enclouage, de sorte qu'elles existent depuis novembre 2003 et sont ainsi bien antérieures à février 2007, même si elles ne sont clairement diagnostiqués qu'à cette époque. L'objectivation de ces douleurs par l'expert neurologue, qui confirme et complète les constatations de la Dresse E_________ de début 2007 permet ainsi d'admettre le caractère objectivement invalidant de douleurs incessantes, résistantes aux très nombreux antalgiques prescrits et qui ont, comme cela est précisément décrit par le centre de la douleur au HUG, été en s'aggravant avec le temps, s'étendant du point d'insertion du clou aux deux faces des jambes et du pied, allant de la cheville au bas du dos, avec des décharges électriques et une douleur constante de la cheville et du tibia. b) les experts ne contestent pas que la mobilité de la jambe gauche de l'assuré, examinée indépendamment des autres limitations, aurait éventuellement permis de retenir une capacité de travail de 100% dans une activité adaptée en 2005 et en 2006, à l'instar des Dr A_________ et C_________, mais ils précisent que les conséquences des douleurs ont été mal appréciées, de même que celles des autres affections. Ainsi, lors du séjour à la CRR, les médecins constatent certes une amélioration de la mobilité, d'ailleurs admise par l'assuré, et proposent une ablation de matériel d'ostéosynthèse, partant de l'hypothèse (qu'ils n'ont pas eu l'occasion de vérifier) que cela améliorera le tableau des douleurs. Le Dr C_________ confirme la persistance des douleurs après l'ablation du matériel précité, sans trouver d'explication non plus, de sorte que sur le base des seuls éléments objectifs connus, il estime en mars 2006 que malgré la persistance du syndrome douloureux, l'assuré doit pouvoir travailler dans une activité adaptée. Les avis des Dr A_________ et C_________ auxquels se réfère le SMR sont donc à juste titre valablement contestés par les experts. A cet égard, les experts n'affirment pas que le problème de la subluxation de la rotule gauche aurait de tout temps impliqué une impotence totale du membre inférieur gauche et une boiterie aussi importante qu'en 2010. Au contraire, les experts précisent que cette situation se péjore avec le temps et précisent que l'amyotrophie du quadriceps gauche, vraisemblablement par manque d'usage dû aux douleurs neurogènes, a entraîné la subluxation chronique de la rotule, laquelle aggrave à son tour les douleurs et les troubles de la marche en altérant progressivement le cartilage. Or, cette amyotrophie, ainsi que le problème rotulien étaient déjà existants en mars 2006 selon l'examen du Dr C_________; c) la date précise du début de l'affection du canal lombaire étroit et ses conséquences sur la capacité de travail de l'assuré n'est certes pas déterminée par les experts, qui se fondent sur l'IRM pratiqué en 2010, mais le caractère mixte dégénératif et constitutionnel mentionné par l'expert en chirurgie orthopédique implique que l'affection n'est pas apparue en 2010 seulement. Il n'est plus possible</w:t>
      </w:r>
    </w:p>
    <w:p>
      <w:r>
        <w:t>A/742/2009 - 30/32 - de déterminer, a posteriori, la date exacte de l'apparition de cette affection et son évolution dans le temps, mais il peut être admis au degré de la vraisemblance prépondérante que c'est assez rapidement après l'IRM pratiqué en août 2007 qui mentionne déjà des troubles dégénératifs lombosacrés. Au demeurant, les experts précisent que ce sont bien les deux pathologies mentionnées ci-dessus, associées de surcroît à la pathologie rotulienne, qui créent des douleurs, décharges électriques violentes, imprévisibles et constatées lors de l'examen, ainsi que l'impotence de marche, la boiterie et les réveils nocturnes; d) les troubles hépatiques sont relevés lors d'examens effectués en décembre 2006 déjà par le Dr D_________, même si ce dernier en informe l'OAI en mai 2008 seulement. Cette affection a seulement par période des effets directs sur la capacité de travail de l'assuré aux dires des experts et du SMR, mais celui-ci n'indique pas en quoi l'avis des experts qui retiennent une augmentation de l'épuisement du patient en raison de cette affection serait erroné; e) pour terminer, il s'avère que les experts retiennent que les importantes douleurs neurogènes justifient à elles seules une incapacité de travail totale dans toute activité depuis l'accident de novembre 2003, de sorte qu'il est bien inutile de tenter de déterminer si l'aggravation de l'impotence fonctionnelle du membre gauche et/ou le canal lombaire étroit auraient justifiés une telle incapacité de travail dès novembre 2003 ou dès mars 2006 voire août 2007 seulement, comme semble l'admettre le SMR dans son dernier courrier. De façon générale, les experts expliquent fort bien que l'association des diverses pathologies, s'aggravant mutuellement en quelques sorte, justifie une totale incapacité de travail de l'assuré depuis l'accident. Ces conclusions ne sont au demeurant pas contradictoires avec la volonté de l'assuré de tenter de rester actif et d'entreprendre un projet professionnel indépendant, ce projet étant seulement la démonstration que l'assuré n'a jamais exagéré ses plaintes dans le but de prouver son incapacité de travail. Outre l'aspect économiquement pas viable du projet, l'incapacité de l'assuré de se déplacer et la constance des douleurs ont fait que l'assuré a dû admettre, après de nombreuses années, qu'il ne parvenait plus à exercer, en raison de son état de santé, une activité professionnelle. C'est donc à tort que la décision de l'OAI du 4 mars 2009 limite l'octroi d'une rente entière du 1er novembre 2004 au 28 février 2005, l'assuré ayant droit à une rente illimitée dans le temps.</w:t>
      </w:r>
    </w:p>
    <w:p>
      <w:r>
        <w:rPr>
          <w:b/>
        </w:rPr>
        <w:t>E. 9</w:t>
      </w:r>
    </w:p>
    <w:p>
      <w:r>
        <w:t>a) Au vu de ce qui précède, le recours est fondé et il doit être admis. b) La loi fédérale du 16 décembre 2005 modifiant la loi fédérale sur l'assurance- invalidité est entrée en vigueur le 1er juillet 2006 (RO 2006 2003), apporte des modifications qui concernent notamment la procédure conduite devant le Tribunal</w:t>
      </w:r>
    </w:p>
    <w:p>
      <w:r>
        <w:t>A/742/2009 - 31/32 -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1'000 fr. sera ainsi mis à la charge de l'intimé qui succombe (art. 69 al. 1bis LAI). c)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3'500 fr.</w:t>
      </w:r>
    </w:p>
    <w:p>
      <w:r>
        <w:t>A/742/2009 - 32/32 -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