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ATAS/67/2010 vom 26. Januar 2010</w:t>
      </w:r>
    </w:p>
    <w:p>
      <w:r>
        <w:t>GE Cour de justice, 2010-01-26, FR</w:t>
      </w:r>
    </w:p>
    <w:p>
      <w:r>
        <w:rPr>
          <w:b/>
        </w:rPr>
        <w:t xml:space="preserve">Quelle: </w:t>
      </w:r>
      <w:r>
        <w:t>https://mcp.opencaselaw.ch/entscheid/ge_gerichte_ATAS_67_2010</w:t>
      </w:r>
    </w:p>
    <w:p>
      <w:r>
        <w:t>FR: GE_GERICHTE ATAS/67/2010 du 26 janvier 2010</w:t>
      </w:r>
    </w:p>
    <w:p>
      <w:r>
        <w:t>IT: GE_GERICHTE ATAS/67/2010 del 26 gennaio 2010</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entrée en vigueur le 1er janvier 2003, est applicable au cas d’espèce.</w:t>
      </w:r>
    </w:p>
    <w:p>
      <w:r>
        <w:rPr>
          <w:b/>
        </w:rPr>
        <w:t>E. 3</w:t>
      </w:r>
    </w:p>
    <w:p>
      <w:r>
        <w:t>Interjeté dans les forme et délai prescrits, le recours est recevable (art. 5, 56 et 60 LPGA ; art. 89B de la loi sur la procédure administrative, du 12 septembre 1985 – LPA ; RS E 5 10).</w:t>
      </w:r>
    </w:p>
    <w:p>
      <w:r>
        <w:t>A/3748/2009 - 5/9 -</w:t>
      </w:r>
    </w:p>
    <w:p>
      <w:r>
        <w:rPr>
          <w:b/>
        </w:rPr>
        <w:t>E. 4</w:t>
      </w:r>
    </w:p>
    <w:p>
      <w:r>
        <w:t>Le litige porte sur les reprises de salaires effectuées par la caisse et en particulier sur le fait de déterminer si les commissions versées sont considérées comme un salaire de dépendant. Le recours est limité à la reprise de salaire pour Monsieur B__________, Monsieur C__________, Madame E__________, Madame F__________ et Madame L__________, la caisse ayant admis l'opposition pour le cas de Monsieur D__________. 5.a) Est réputé salarié celui qui fournit un travail dépendant et qui reçoit pour ce travail un salaire déterminant au sens des lois spéciales (art. 10 LPGA). Aux termes de l’art. 14 al. 1 LAVS, les cotisations perçues sur le revenu provenant de l’exercice d’une activité dépendante doivent être retenues lors de chaque paie et être versées périodiquement par l’employeur en même temps que la cotisation de l’employeur. Le salaire déterminant, au sens de l'art. 5 al. 2 LAVS,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p. 180, 126 V 221 consid. 4a p. 222, 124 V 100 consid. 2 p. 101 et la jurisprudence citée). A cet égard, les articles 7 et ss. RAVS définissent ce qu’il faut entendre par salaire déterminant soumis à cotisations, soit notamment: a. le salaire au temps, aux pièces (à la tâche) et à la prime, y compris les indemnités pour les heures supplémentaires, le travail de nuit et en remplacement; b. les allocations de résidence et de renchérissement; c. les gratifications, les primes de fidélité et au rendement, ainsi que la valeur d’actions remises aux salariés, dans la mesure où celle-ci dépasse le prix d’acquisition et où le salarié peut disposer des actions; s’agissant des actions liées remises aux salariés, la valeur et le moment de la réalisation du revenu sont déterminés d’après les dispositions relatives à l’impôt fédéral direct; d. les revenus des commanditaires résultant d’un rapport de service qui les lie à la société en commandite, ainsi que les parts des salariés aux bénéfices dans la mesure où elles dépassent l’intérêt du capital engagé; e. les pourboires, s’ils représentent une part importante du salaire; f. les prestations en nature ayant un caractère régulier; g. les provisions et les commissions. b)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w:t>
      </w:r>
    </w:p>
    <w:p>
      <w:r>
        <w:t>A/3748/2009 - 6/9 - mais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123 V 162 consid. 1, 122 V 171 consid. 3a, 283 consid. 2a, 119 V 161 consid. 2 et les arrêts cités). c)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1986 p. 651 consid. 4c,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78 sv. consid. 4b). En outre, la possibilité pour le travailleur d'organiser son horaire de travail ne signifie pas nécessairement qu'il s'agit d'une activité indépendante (VSI 1996 p. 257 sv. consid. 3c). d) Le revenu d'une activité indépendante comprend tout revenu du travail autre que l rémunération pour un travail accompli dans une situation dépendante (art. 9 al. 1 LAVS). Les indices caractéristiques d'une activité indépendante résident dans la mise en œuvre d'investissements d'une certaine importance, l'usage de ses propres locaux de travail et l'engagement de son personnel (ATF 119 V 163 consid. 3b). Le risque particulier de l'entrepreneur découle du fait que, quel que soit le résultat de son activité, il doit supporter les coûts de son entreprise, en particulier les frais généraux, pertes, risques d'encaissement et de ducroire (Greber/Duc/Scartazzini, Commentaire des articles 1 à 16 de la loi fédérale sur l'assurance-vieillesse et survivants [LAVS], ad. art. 5 LAVS, n° 111 p. 181; Rudolf Rüedi, Die Abgrenzung zwischen selbständiger und unselbständiger Erwerbstätigkeit, in: Aktuelle Fragen aus dem Beitragsrecht der AHV, Referate der Tagung des Schweizerischen Instituts für Verwaltungskurse vom 28. November 1997 in Luzern, Schaffhauser/Kieser (éd.), St. Gallen, 1998, p. 131 s.; cf. en outre ATF 123 V 162 s. consid. 1 et les références).</w:t>
      </w:r>
    </w:p>
    <w:p>
      <w:r>
        <w:t>A/3748/2009 - 7/9 - e) Le courtage est en règle générale considéré comme une activité indépendante (RCC 1988 p. 315 s. consid. 3c). Comme tout mandataire, le courtier est tenu d'exécuter son mandat dans les règles et conformément aux instructions du mandant (art. 412 al. 2 CO en corrélation avec l'art. 397 CO). Au surplus, le contrat de courtage peut être révoqué en tout temps (art. 412 al. 2 CO en corrélation avec l'art. 404 CO) et selon l'art. 413 al. 1 CO, le courtier n'a en principe droit à son salaire que si l'indication qu'il a donnée ou la négociation qu'il a conduite aboutit à la conclusion du contrat. Ce dernier élément, qui met en lumière le caractère nettement aléatoire de l'activité de courtier, est important du point de vue du droit des assurances sociales qui fait du risque encouru par l'entrepreneur l'un des critères permettant de reconnaître l'existence d'une activité indépendante. Quant aux dépenses du courtier, elles ne lui sont remboursées, lors même que l'affaire n'a pas abouti, que si cela a été convenu (art. 413 al. 3 CO). Pour toutes ces raisons, il s'impose généralement de considérer que le courtier exerce une activité indépendante (Gustavo Scartazzini, in Greber/Duc/Scartazzini, Commentaire des art. 1 à 16 de la loi fédérale sur l'assurance-vieillesse et survivants [LAVS], 1966, ch. m. 159 ad art. 5 LAVS). f) Selon l'article 322b CO, s'il est convenu que le travailleur a droit à une provision sur certaines affaires, elle lui est acquise dès que l'affaire a été valablement conclue avec le tiers.</w:t>
      </w:r>
    </w:p>
    <w:p>
      <w:r>
        <w:rPr>
          <w:b/>
        </w:rPr>
        <w:t>E. 6</w:t>
      </w:r>
    </w:p>
    <w:p>
      <w:r>
        <w:t>Dans le cas d'espèce, l'activité des intéressés a consisté à indiquer à la société, de leur propre chef, et lorsque cela se présentait, des occasions de vente d'un bien immobilier. En contrepartie, les intéressés ont perçu une commission lorsque l'indication donnée a permis à la société de conclure le contrat. Les cinq personnes visées n'étaient pas salariées par la société lors du versement de la commission, seules deux d'entre elles l'ont été antérieurement ou postérieurement. Sur la période considérée de quatre ans, elles ont perçu chacune une commission unique pour une vente immobilière conclue, sauf Madame F__________, qui a permis la conclusion de trois affaires distinctes et a donc perçu trois commissions. En premier lieu, il faut retenir que les rapports contractuels relèvent d'un contrat de courtage, soit de mandat, et non pas de travail. Certes, la nature juridique du rapport contractuel n'est pas déterminante à elle seule, mais elle fournit des indices. En second lieu, ces personnes ne dépendent pas de la société pour l'organisation de leur travail, puisque ce sont elles qui contactent la société pour leur proposer une affaire. Elles ne reçoivent pas d'instructions de la société pour l'exécution de leur mandat, elles ne lui sont pas subordonnées. Surtout, il ne s'agit pas d'une collaboration régulière, car les intéressés ne sont pas tenus de fournir régulièrement leurs prestations à la même société. Au contraire, il s'agit dans la majorité des cas d'un seul mandat. Ainsi, aucun des principaux éléments caractérisant le lien de</w:t>
      </w:r>
    </w:p>
    <w:p>
      <w:r>
        <w:t>A/3748/2009 - 8/9 - dépendance du salarié, du point de vue de l'organisation du travail et de l'économie de l'entreprise, ne sont réunis. En troisième lieu, les intéressés n'ont droit à la commission que si l'indication qu'ils ont donnée aboutit à la conclusion du contrat. Ce dernier élément démontre le caractère nettement aléatoire de l'activité de courtier, soit un des critères déterminants du point de vue du droit des assurances sociales qui fait du risque encouru par l'entrepreneur l'un des éléments permettant de reconnaître l'existence d'une activité indépendante. Il n'est pas nécessaire, pour admettre l'existence du risque supporté par un indépendant, que l'activité de ce dernier réponde à tous les indices de l'indépendance (opère des investissements importants, supporte les frais généraux, agit en son nom et pour son compte, se procure lui-même ses mandats, occupe du personnel, utilise ses propres locaux commerciaux). En effet, le courtier peut travailler seul, sans employés, en utilisant partiellement une pièce de son logement et sans autres investissements qu'un téléphone et un ordinateur, alors qu'il supporte manifestement le risque de son entreprise. En dernier lieu, et contrairement à ce que soutient l'intimée, la commission de courtage ne se confond pas avec la commission visée par l'article 7 RAVS, soit la provision versée au salarié d'une entreprise, et qui constitue la rémunération que le travailleur reçoit à titre complémentaire au prorata des affaires qu'il a permis à l'employeur de conclure avec des tiers, selon les articles 322d et 322c CO (Pierre Tercier, Les contrats spéciaux, Zurich 1995, page 325). Ce qui est en effet déterminant, c'est la qualification de salarié de celui qui, en plus d'un salaire de base, perçoit une commission et qui est dans un rapport de contrat de travail avec l'entreprise, en raison de la présence des éléments caractéristiques du dépendant (subordination, instructions de l'employeur, dépendance et collaboration répétée sur une durée). Pour l'ensemble de ces motifs, le Tribunal retient que les commissions versées à Monsieur B__________, Monsieur C__________, Madame E__________, Madame F__________ et Madame G__________ entre le 1er janvier 2004 et le 31 décembre 2007 ne constituent pas du salaire déterminant au sens de l'AVS. La décision sur opposition qui confirme la reprise de salaire pour ces cinq personnes est donc infondée.</w:t>
      </w:r>
    </w:p>
    <w:p>
      <w:r>
        <w:rPr>
          <w:b/>
        </w:rPr>
        <w:t>E. 7</w:t>
      </w:r>
    </w:p>
    <w:p>
      <w:r>
        <w:t>Le recours est admis et la décision sur opposition du 23 septembre 2009 est annulée. Une indemnité de procédure de 750.- est allouée à la recourante, qui obtient gain de cause.</w:t>
      </w:r>
    </w:p>
    <w:p>
      <w:r>
        <w:t>A/3748/2009 - 9/9 -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