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ATAS/67/2009 vom 27. Januar 2009</w:t>
      </w:r>
    </w:p>
    <w:p>
      <w:r>
        <w:t>GE Cour de justice, 2009-01-27, FR</w:t>
      </w:r>
    </w:p>
    <w:p>
      <w:r>
        <w:rPr>
          <w:b/>
        </w:rPr>
        <w:t xml:space="preserve">Quelle: </w:t>
      </w:r>
      <w:r>
        <w:t>https://mcp.opencaselaw.ch/entscheid/ge_gerichte_ATAS_67_2009</w:t>
      </w:r>
    </w:p>
    <w:p>
      <w:r>
        <w:t>FR: GE_GERICHTE ATAS/67/2009 du 27 janvier 2009</w:t>
      </w:r>
    </w:p>
    <w:p>
      <w:r>
        <w:t>IT: GE_GERICHTE ATAS/67/2009 del 27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w:t>
      </w:r>
    </w:p>
    <w:p>
      <w:r>
        <w:rPr>
          <w:b/>
        </w:rPr>
        <w:t>E. 2</w:t>
      </w:r>
    </w:p>
    <w:p>
      <w:r>
        <w:t>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w:t>
      </w:r>
    </w:p>
    <w:p>
      <w:r>
        <w:t>A/10/2008 - 5/7 -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La demande de révision doit être adressée par écrit à la juridiction qui a rendu la décision dans les trois mois de la découverte du motif de révision, mais en tous les cas au plus tard dans les 10 ans à compter de la notification de la décision. La demande doit indiquer le motif de révision et contenir les conclusions du requérant pour le cas où la révision serait admise et une nouvelle décision prise (art. 81 LPA) Lorsque le tribunal estime que le motif de révision est établi, il doit annuler totalement ou partiellement l'arrêt rendu et statuer à nouveau au fond (art. 83 LPA ; BOVAY, Procédure administrative, éd. Staempfli, p. 441).</w:t>
      </w:r>
    </w:p>
    <w:p>
      <w:r>
        <w:rPr>
          <w:b/>
        </w:rPr>
        <w:t>E. 3</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ATFA non publié du 28 avril 2005, I 183/04 consid. 2.2 résumé in REAS 2005 p. 242). Ainsi, il n'y a pas motif à révision du seul fait que le tribunal paraît avoir mal interprété des faits</w:t>
      </w:r>
    </w:p>
    <w:p>
      <w:r>
        <w:t>A/10/2008 - 6/7 - connus déjà lors de la procédure principale. L'appréciation inexacte doit être, bien plutôt, la conséquence de l'ignorance ou de l'absence de preuve de faits essentiels pour le jugement (ATF 127 V 358 consid. 5b, 110 V 141 consid. 2, 293 consid. 2a, 118 II 205, 108 V 171 consid. 1; ATFA non publié du 28 février 2005, U 144/04 consid. 4.1). On rappellera également utilement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4</w:t>
      </w:r>
    </w:p>
    <w:p>
      <w:r>
        <w:t>Dans le cas d'espèce, le recourant allègue que des faits ou des moyens de preuve nouveaux et importants existent, qu’il ne pouvait connaître ou invoquer dans la procédure précédente, ce que le SPC conteste. La demande est recevable à la forme. À la lumière des dispositions légales et des principes jurisprudentiels rappelés ci- dessus, le Tribunal constate qu'aucun motif de révision n'est réalisé en l'espèce. On ne peut que rappeler que le recourant ne cesse de changer de version des faits, invoquant tantôt la réalité concrète tantôt la publicité des registres. Il a insisté, lors de la précédente procédure, sur la communauté conjugale existante. Il a répondu de façon claire et posée aux questions précises du Tribunal. Ses réponses ont convaincu la juridiction dans le sens qu'elle a jugé, et du fait que toutes mesures probatoires étaient inutiles, en particulier l'audition de son épouse. Il ne saurait venir aujourd'hui demander l'annulation de l'arrêt, sur la base d'allégués qui ne sont pas rendus vraisemblables, ou qui, en tout cas, ne justifient pas la révision de l'arrêt. Autre est la question de savoir si, pour l'avenir, il est toujours justifié de considérer les époux comme faisant ménage commun. La modification des éléments de calcul pour l'avenir est, cela étant, du ressort et en mains du SPC. Par conséquent, la demande en révision est rejetée.</w:t>
      </w:r>
    </w:p>
    <w:p>
      <w:r>
        <w:t>A/10/2008 - 7/7 -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