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ATAS/679/2024 vom 4. September 2024</w:t>
      </w:r>
    </w:p>
    <w:p>
      <w:r>
        <w:t>GE Cour de justice, 2024-09-04, FR</w:t>
      </w:r>
    </w:p>
    <w:p>
      <w:r>
        <w:rPr>
          <w:b/>
        </w:rPr>
        <w:t xml:space="preserve">Quelle: </w:t>
      </w:r>
      <w:r>
        <w:t>https://mcp.opencaselaw.ch/entscheid/ge_gerichte_ATAS_679_2024</w:t>
      </w:r>
    </w:p>
    <w:p>
      <w:r>
        <w:t>FR: GE_GERICHTE ATAS/679/2024 du 4 septembre 2024</w:t>
      </w:r>
    </w:p>
    <w:p>
      <w:r>
        <w:t>IT: GE_GERICHTE ATAS/679/2024 del 4 settembre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les forme et délai prévus par la loi, le recours est recevable (art. 56ss LPGA).</w:t>
      </w:r>
    </w:p>
    <w:p>
      <w:r>
        <w:rPr>
          <w:b/>
        </w:rPr>
        <w:t>E. 2</w:t>
      </w:r>
    </w:p>
    <w:p>
      <w:r>
        <w:t>Le litige porte sur le droit de l’intimée de réclamer à la recourante le paiement de primes de l’assurance-accidents obligatoire pour l’activité exercée pour celle-ci par l’appelé en cause durant les années 2020 à 2022.</w:t>
      </w:r>
    </w:p>
    <w:p>
      <w:r>
        <w:rPr>
          <w:b/>
        </w:rPr>
        <w:t>E. 3.1</w:t>
      </w:r>
    </w:p>
    <w:p>
      <w:r>
        <w:t>La recourante fait valoir que la décision entreprise violait gravement son droit d’être entendue, car l’intimée n’avait pas mis à sa disposition en temps utiles une</w:t>
      </w:r>
    </w:p>
    <w:p>
      <w:r>
        <w:t>A/4202/2023 - 4/11 - partie des pièces sur lesquelles elle s’était fondée, à savoir le dossier relatif à l’appelé en cause.</w:t>
      </w:r>
    </w:p>
    <w:p>
      <w:r>
        <w:rPr>
          <w:b/>
        </w:rPr>
        <w:t>E. 3.2</w:t>
      </w:r>
    </w:p>
    <w:p>
      <w:r>
        <w:t>Tel que garanti par l'art. 29 al. 2 de la Constitution fédérale de la Confédération suisse du 18 avril 1999 (Cst. - RS 101), le droit d'être entendu comprend, notamment, le droit pour l'intéressé de prendre connaissance du dossier (ATF 126 I 7 consid. 2b p. 10 ; arrêt du Tribunal fédéral 2C_782/2015 du 19 janvier 2016 consid. 2.1),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p. 293 ; 132 II 485 consid. 3.2 p. 494 ; 127 I 54 consid. 2b p. 56).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p. 197 ; 133 I 201 consid. 2.2 p. 204).</w:t>
      </w:r>
    </w:p>
    <w:p>
      <w:r>
        <w:rPr>
          <w:b/>
        </w:rPr>
        <w:t>E. 3.3</w:t>
      </w:r>
    </w:p>
    <w:p>
      <w:r>
        <w:t>En l’occurrence, il faut constater que la décision querellée mentionne la décision de constatation du 12 mai 2023, qui ne figurait pas dans le dossier de l'intimée concernant la recourante mais dans celui de l’appelé en cause. Cela étant, même si une violation du droit d’être entendu de la recourante était admise, il faudrait constater qu’elle ne serait pas particulièrement grave et qu’elle aurait été réparée devant la chambre de céans, l’intimée ayant spontanément produit le dossier de l’appelé en cause au stade de sa réponse au recours.</w:t>
      </w:r>
    </w:p>
    <w:p>
      <w:r>
        <w:rPr>
          <w:b/>
        </w:rPr>
        <w:t>E. 4.1</w:t>
      </w:r>
    </w:p>
    <w:p>
      <w:r>
        <w:t>La recourante fait valoir que la reconsidération de l'intimée sur le statut de l’appelé en cause était contradictoire et inattendue. Elle était intervenue après que l’intimée avait attesté du statut d’indépendant de l’ayant droit depuis le 1er novembre 2019, suite à un récent contrôle effectué auprès d'elle, au cours duquel le statut de l'appelé en cause n’avait pas été remis en cause. L’intimée fait valoir qu’elle avait considéré par erreur que l’appelé en cause était indépendant et que son dossier faisait encore l’objet de démarches nécessaires pour déterminer son statut. Le document avait été généré bien après que la recourante avait collaboré de façon étroite avec l’appelé en cause. Elle ne pouvait donc s’en prévaloir, puisque cette reconnaissance d’un statut d’indépendant ne l’avait pas amenée à collaborer aussi étroitement avec celui-ci.</w:t>
      </w:r>
    </w:p>
    <w:p>
      <w:r>
        <w:rPr>
          <w:b/>
        </w:rPr>
        <w:t>E. 4.2</w:t>
      </w:r>
    </w:p>
    <w:p>
      <w:r>
        <w:t>En l’occurrence, l’on ne saurait retenir que la décision de réexamen du statut de l'appelé en cause serait inattendue et contradictoire, dès lors que le courrier</w:t>
      </w:r>
    </w:p>
    <w:p>
      <w:r>
        <w:t>A/4202/2023 - 5/11 - du 1er décembre 2022 indiquait à l’appelé en cause qu’il exerçait une activité d’indépendant seulement en ce qui concernait son activité exercée en son nom propre et pour son compte, sans dépendre d’une organisation d’entreprise tierce. Il était en outre précisé que s’il louait ses services son statut devrait être soumis à une nouvelle appréciation. Le 6 décembre 2022, l'intimée a procédé à un nouvel examen du statut en raison de nouveaux éléments qui étaient parvenus à sa connaissance et elle a demandé des pièces complémentaires à l'appelé en cause, qui les lui a transmises le 12 décembre 2022. Elle était légitimée à réexaminer cette question. Ce grief doit être écarté.</w:t>
      </w:r>
    </w:p>
    <w:p>
      <w:r>
        <w:rPr>
          <w:b/>
        </w:rPr>
        <w:t>E. 5.1</w:t>
      </w:r>
    </w:p>
    <w:p>
      <w:r>
        <w:t>La recourante fait valoir qu’elle ne disposait ni des moyens ni du temps pour déterminer, chaque année, la situation de ses sous-traitants. On ne pouvait lui reprocher de ne pas avoir contacté l’intimée, celle-ci ayant elle-même jugé, à l’issue d’investigations poussées, que l'appelé en cause devait se voir reconnaitre le statut d’indépendant. On peinait à comprendre en quoi le fait de contacter l’intimée aurait dû conduire la recourante à une conclusion différente. L’attestation d’indépendant au dossier démontrait ainsi la contradiction de l'intimée et sa difficulté à appréhender le statut de l'appelé en cause. À la lecture de l'attestation d’indépendant fournie par l'intimée, la recourante pouvait raisonnablement lui accorder un crédit particulier pour confirmer sa propre appréciation de la situation. Il serait disproportionné, pour ne pas dire injustifié, d’attendre de la recourante qu’elle remette en cause les enquêtes conduites par des spécialistes en la matière.</w:t>
      </w:r>
    </w:p>
    <w:p>
      <w:r>
        <w:rPr>
          <w:b/>
        </w:rPr>
        <w:t>E. 5.2</w:t>
      </w:r>
    </w:p>
    <w:p>
      <w:r>
        <w:t>Selon l’art. 1a LAA, les travailleurs occupés en Suisse sont assurés à titre obligatoire contre le risque d’accident. Est réputé travailleur au sens de cette disposition quiconque exerce une activité lucrative dépendante au sens de la loi fédérale sur l’assurance-vieillesse et survivants du 20 décembre 1946 (LAVS - RS 831.10 ; art. 1 de l’ordonnance sur l’assurance-accidents du 20 décembre 1982 [OLAA - RS 832.202]).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(cf. art. 5 et 9 LAVS, art. 6 ss du règlement sur l’assurance-vieillesse et survivants du 31 octobre 1947 [RAVS - RS 831.101]).</w:t>
      </w:r>
    </w:p>
    <w:p>
      <w:r>
        <w:rPr>
          <w:b/>
        </w:rPr>
        <w:t>E. 5.3</w:t>
      </w:r>
    </w:p>
    <w:p>
      <w:r>
        <w:t>En l’occurrence, la question de savoir s’il était possible à la recourante de déterminer si son sous-traitant était indépendant ou non n’est pas déterminante. Du moment que l’analyse de sa situation économique conduisait à la conclusion que l'appelé en cause avait un statut de travailleur dépendant dans ses rapports avec la recourante, celle-ci était tenue de par la loi de payer les cotisations contre le risque accident, même à titre rétroactif. L’intimée doit appliquer la LAA sur</w:t>
      </w:r>
    </w:p>
    <w:p>
      <w:r>
        <w:t>A/4202/2023 - 6/11 - cette question et n’a pas de marge de manœuvre. Par ailleurs, la recourante ne peut se prévaloir de l'attestation du 1er décembre 2022 qui a été établie bien après le début de sa collaboration soutenue avec l'appelé en cause.</w:t>
      </w:r>
    </w:p>
    <w:p>
      <w:r>
        <w:rPr>
          <w:b/>
        </w:rPr>
        <w:t>E. 6.1</w:t>
      </w:r>
    </w:p>
    <w:p>
      <w:r>
        <w:t>La recourante estime enfin que l’appelé en cause n’exerce pas une activité dépendante.</w:t>
      </w:r>
    </w:p>
    <w:p>
      <w:r>
        <w:rPr>
          <w:b/>
        </w:rPr>
        <w:t>E. 6.2</w:t>
      </w:r>
    </w:p>
    <w:p>
      <w:r>
        <w:t>Est considéré comme salaire déterminant toute rétribution pour un travail dépendant effectué dans un temps déterminé ou indéterminé (art. 5 al. 2 LAVS). Quant au revenu provenant d’une activité indépendante, il comprend tout revenu du travail autre que la rémunération pour un travail accompli dans une situation dépendante (art. 9 al. 1 LAVS).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 123 V 161 consid. 1 et les références). Il n’existe toutefois aucune présomption juridique en faveur de l’activité salariée ou indépendante (Directives sur le salaire déterminant dans l’AVS, AI et APG [ci-après : DSD] édictées par l’Office fédéral des assurances sociales, ch. 1020). La notion de dépendance englobe les rapports créés par un contrat de travail, mais elle les déborde largement (cf. GREBER, DUC, SCARTAZZINI, Commentaire des art. 1 à 16 de la loi fédérale sur l’assurance-vieillesse et survivants, 1997, n. 94 ad art. 4 LAVS et les références). Il peut en effet arriver qu’un tribunal civil qualifie une relation juridique de mandat ou de contrat d’entreprise, alors que l’assureur ou le juge social la considère comme un cas d’activité lucrative dépendante (ATF 97 V 134 consid. 3 ; Jean-Philippe DUNAND, in Commentaire romand de la LPGA, n. 56 ad art. 10).</w:t>
      </w:r>
    </w:p>
    <w:p>
      <w:r>
        <w:t>A/4202/2023 - 7/11 -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H 334/03 du 10 janvier 2005 consid. 6.2.1). En outre, la possibilité pour le travailleur d’organiser son horaire de travail ne signifie pas nécessairement qu’il s’agit d’une activité indépendante (arrêt du Tribunal fédéral H 6/05 du 19 mai 2006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H 6/05 du 19 mai 2006 consid. 2.3).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w:t>
      </w:r>
    </w:p>
    <w:p>
      <w:r>
        <w:t>A/4202/2023 - 8/11 - Ni le droit suisse ni la jurisprudence ne donnent de définition précise de la sous- 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 Peter GAUCH, Der Werkvertrag, 5ème éd. 2011, n. 137 p. 53; Pierre TERCIER/ Pascal G. FAVRE, Les contrats spéciaux, 4ème éd. 2009, p. 644, n. 4290 ; voir également François CHAIX, Le contrat de sous-traitance en droit suisse, 1995, p. 85 ss. ; arrêt du Tribunal fédéral 9C_782/2014 du 25 août 2015 consid. 6.1.1). Entre l'entrepreneur principal et le sous-traitant, la relation est régie par un contrat d'entreprise au sens de l'art. 363 de la loi fédérale du 30 mars 1911, complétant le Code civil suisse (CO, Code des obligations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JdT 1998 I 612), c'est donc l'entrepreneur principal qui répond à l'égard du maître principal de l'exécution des travaux effectués par les sous-traitants ; ceux-ci sont en effet des auxiliaires de l'exécution (art. 101 CO ; ATF 116 II 305,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cit. n. 4294 ss). Se référant à la doctrine, le Tribunal fédéral des assurances a considéré, dans son arrêt H 169/04 du 21 avril 2005, que les sous-traitants et les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(consid. 4.4). Cette jurisprudence a été confirmée, à plusieurs reprises par la suite (arrêts du Tribunal fédéral 8C_484/2010 du 12 mai 2011 consid. 3.3 ; 9C_1062/2010 du 5 juillet 2011 consid. 7.5, 8C_367/2011 du 12 avril 2012 consid. 2.4 ; 8C_597/2011 du 10 mai 2012 consid. 2.3 ; 9C_624/2011 du 25 septembre 2012 consid. 2.2). À chaque fois, le Tribunal fédéral s’est demandé si l’intéressé, qui se prétendait indépendant et intervenait en qualité de sous-traitant, traitait sur un pied d’égalité avec les entreprises principales. Lorsque l’intéressé intervenait majoritairement pour des particuliers, son statut était celui d’indépendant. Lorsqu’il œuvrait principalement, voire exclusivement, en qualité de sous-traitant, il était considéré comme salarié.</w:t>
      </w:r>
    </w:p>
    <w:p>
      <w:r>
        <w:t>A/4202/2023 - 9/11 - Dans un arrêt du 27 février 1970, le Tribunal fédéral des assurances a considéré qu’en présence d’un dossier ne contenant ni convention ni décomptes écrits, on ne pouvait déduire de la simple production de quittances signées par un sous-traitant que celui-ci formait, avec un associé, une société simple mandatée par l’entrepreneur principal. Aussi le Tribunal fédéral des assurances a-t-il jugé que les associés A et B ne traitaient pas sur un pied d’égalité avec l’entrepreneur qui leur avait confié le travail, d’autant que la preuve d’une activité indépendante n’avait pas été apportée (RCC 1970 p. 369-370). Dans le secteur du gros-œuvre et du second œuvre, la question de savoir si le sous-traitant traite sur un pied d’égalité avec l’entrepreneur principal dépend notamment de la question de savoir qui répond de l’exécution défectueuse des travaux vis-à-vis du maître de l’ouvrage (arrêt du Tribunal fédéral H 191/05 du 30 juin 2006 consid. 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130 III 324 consid. 3.2 et 3.3). Aussi n’existe-t-il pas, en droit des assurances sociales, un principe selon lequel l’administration ou le juge devrait statuer, dans le doute, en faveur de l’assuré (ATF 126 V 322 consid. 5a).</w:t>
      </w:r>
    </w:p>
    <w:p>
      <w:r>
        <w:rPr>
          <w:b/>
        </w:rPr>
        <w:t>E. 6.3</w:t>
      </w:r>
    </w:p>
    <w:p>
      <w:r>
        <w:t>En l’espèce, les très nombreuses factures adressées à la recourante par l’appelé en cause attestent d’une collaboration régulière entre eux pendant les années 2020 à 2022. Il en résulte qu’en cas de cessation de ce « rapport de travail », l’appelé en cause se serait retrouvé dans une situation semblable à celle d’un salarié qui perd son emploi. Si l’appelé en cause était libre de refuser les mandats de la recourante, force est de constater qu’il en a, à tout le moins, accepté un nombre conséquent. En tant que sous-traitant de la recourante, l'appelé en cause est présumé exercer une activité dépendante. Les caractéristiques de son activité confirment qu’il exerçait bien une activité dépendante pour la recourante, selon les critères jurisprudentiels, car il ne traitait manifestement pas sur pied d’égalité avec celle-ci – qui employait sept salariés et collaborait avec plusieurs indépendants et des agences d’intérim alors que lui n’avait pas d’employé – et qui lui donnait des instructions, ce que la recourante admet.</w:t>
      </w:r>
    </w:p>
    <w:p>
      <w:r>
        <w:t>A/4202/2023 - 10/11 - Le fait que l’appelé en cause avait la possibilité d’organiser son horaire de travail, qu’il utilisait sur les chantiers ses outils, machines et véhicules utilitaires, qu’il se procurait le matériel servant à l’exécution du travail, qu’il avait conclu des assurances en rapport avec son activité avec Allianz ainsi qu'une assurance- automobile pour les véhicules de l’entreprise et qu’il n’avait pas droit à un remboursement séparé de ses frais et débours ne suffit pas à remettre en cause la présomption d’activité dépendante. Même si le montant investi par l’appelé en cause pour l’achat de matériel entre 2020 et 2021 s’élevait à CHF 9'691.77, comme l’allègue la recourante, ce qui représentait 6% de la rémunération versée par elle pour cette même période, ce montant ne permet pas de retenir un statut d’indépendant, car le risque économique incombait essentiellement à la recourante qui répondait à l'égard du maître principal de l'exécution des travaux effectués par l’appelé en cause. Au vu du nombre très important de factures adressées par l’appelé en cause à la recourante sur l’ensemble de la période en cause (9 en 2020, 34 en 2021 et 34 en 2022) et du montant global qu’elles représentent (CHF 255'020.-), il n’y a pas lieu de distinguer son statut selon chaque année quand bien même ses revenus ne provenaient pas totalement de la recourante mais également d’autres mandants, dans une mesure plus ou moins importante selon les années. En conclusion, la décision sur opposition est bien fondée en tant qu’elle retient que l’activité de l’appelé en cause pour la recourante ne remplit pas les critères pour être qualifiée d’activité indépendante pour les années 2020 à 2022.</w:t>
      </w:r>
    </w:p>
    <w:p>
      <w:r>
        <w:rPr>
          <w:b/>
        </w:rPr>
        <w:t>E. 7</w:t>
      </w:r>
    </w:p>
    <w:p>
      <w:r>
        <w:t>Les faits de la cause étant suffisamment établis par les pièces du dossier, il ne sera pas donné suite à la demande d’audition de la recourante.</w:t>
      </w:r>
    </w:p>
    <w:p>
      <w:r>
        <w:rPr>
          <w:b/>
        </w:rPr>
        <w:t>E. 8</w:t>
      </w:r>
    </w:p>
    <w:p>
      <w:r>
        <w:t>Infondé, le recours sera rejeté. La procédure est gratuite.</w:t>
      </w:r>
    </w:p>
    <w:p>
      <w:r>
        <w:t>A/4202/2023 - 11/11 -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