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ATAS/679/2023 vom 13. September 2023</w:t>
      </w:r>
    </w:p>
    <w:p>
      <w:r>
        <w:t>GE Cour de justice, 2023-09-13, FR</w:t>
      </w:r>
    </w:p>
    <w:p>
      <w:r>
        <w:rPr>
          <w:b/>
        </w:rPr>
        <w:t xml:space="preserve">Quelle: </w:t>
      </w:r>
      <w:r>
        <w:t>https://mcp.opencaselaw.ch/entscheid/ge_gerichte_ATAS_679_2023</w:t>
      </w:r>
    </w:p>
    <w:p>
      <w:r>
        <w:t>FR: GE_GERICHTE ATAS/679/2023 du 13 septembre 2023</w:t>
      </w:r>
    </w:p>
    <w:p>
      <w:r>
        <w:t>IT: GE_GERICHTE ATAS/679/2023 del 13 settembre 2023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A/2921/2022 ATAS/679/2023 COUR DE JUSTICE Chambre des assurances sociales Arrêt du 13 septembre 2023 Chambre 4</w:t>
      </w:r>
    </w:p>
    <w:p>
      <w:r>
        <w:t>En la cause A______ Représenté par Me Philippe GORLA</w:t>
      </w:r>
    </w:p>
    <w:p>
      <w:r>
        <w:t>recourant</w:t>
      </w:r>
    </w:p>
    <w:p>
      <w:r>
        <w:t>contre SUVA CAISSE NATIONALE SUISSE D'ASSURANCE EN CAS D'ACCIDENTS intimée</w:t>
      </w:r>
    </w:p>
    <w:p>
      <w:r>
        <w:t>A/2921/2022 - 2/2 - Vu la décision sur opposition de la SUVA (ci-après : l’intimée) du 4 août 2022 ; Vu le recours interjeté le 14 septembre 2022 par Monsieur A______ (ci-après : le recourant), par l’intermédiaire de son conseil ; Vu la réponse de la SUVA du 28 octobre 2022 ; Vu les audiences de comparution personnelle des parties et d’enquêtes des 14 juin et 23 août 2023 et les pourparlers entre les parties ; Attendu que par courrier du 12 septembre 2023, le recourant a indiqué qu'il retirait son recours, une transaction ayant été passée avec l’intimée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