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ATAS/679/2010 vom 7. Mai 2009</w:t>
      </w:r>
    </w:p>
    <w:p>
      <w:r>
        <w:t>GE Cour de justice, 2009-05-07, FR</w:t>
      </w:r>
    </w:p>
    <w:p>
      <w:r>
        <w:rPr>
          <w:b/>
        </w:rPr>
        <w:t xml:space="preserve">Quelle: </w:t>
      </w:r>
      <w:r>
        <w:t>https://mcp.opencaselaw.ch/entscheid/ge_gerichte_ATAS_679_2010</w:t>
      </w:r>
    </w:p>
    <w:p>
      <w:r>
        <w:t>FR: GE_GERICHTE ATAS/679/2010 du 7 mai 2009</w:t>
      </w:r>
    </w:p>
    <w:p>
      <w:r>
        <w:t>IT: GE_GERICHTE ATAS/679/2010 del 7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A teneur de l’art. 122 al. 1 CC, lorsque l’un des époux au moins est affilié à une institution de prévoyance professionnelle et qu’aucun cas de prévoyance n’est</w:t>
      </w:r>
    </w:p>
    <w:p>
      <w:r>
        <w:t>A/3595/2009 4/6 survenu, chaque époux a le droit à la moitié de la prestation de sorite de son conjoint, calculée pour la durée du mariage. Toutes les prétentions issues de rapports de prévoyance soumis à la loi sur le libre passage doivent en principe être partagées en cas de divorce selon les art. 122 ss CC (GEISER, Le nouveau droit du divorce et les droits en matière de prévoyance professionnelle, in : De l’ancien au nouveau droit du divorce, Berne 1999, p. 64 ; HAUSHEER, Die wesentlliche Neuerungen des neuen Scheidungsrechts, ZBJV 1999 p. 12 ; WALSER, Berufliche Vorsorge, in : Das neue Scheidungsrecht, Zurich, 1999, p. 52). En revanche, lorsqu’un cas de prévoyance et déjà survenu pour l’un des époux ou pour les deux ou que les prétentions en matière de prévoyance professionnelle acquises durant le mariage ne peuvent être partagées pour d’autre motifs, une indemnité équitable sera due (art. 124 al. 1 CC). Selon sa teneur littérale, cette norme ne vise pas seulement la survenance d’un cas de prévoyance, mais aussi d’autres événements en raison desquels la prestation de sortie ne peut être partagée, notamment lorsque les avoirs de la prévoyance professionnelle ont été versés en espèces durant le mariage (ATF 129 V 447 consid. 5.1 et les références, 127 III 437 consid. 2b et les références). La fixation de l'indemnité équitable au sens de l'art. 124 CC relève de la compétence exclusive du juge du divorce et ne laisse pas place à l'intervention du juge des assurances sociales (cf. à cet égard l'ATF B 48/06 du 8 mars 2007, consid. 3). La compétence du Tribunal de céans se limite à procéder au partage des avoirs lorsque c'est l'art. 122 CC qui s'applique. Certes, le juge civil peut prévoir que le versement de l'indemnité équitable se fera par la cession d'une partie de la prestation de sortie et laisser le soin au tribunal des assurances sociales de régler la situation juridique entre les conjoints et l'institution de prévoyance (ATFA B 131/04 du 23 février 2006). Tel n'est cependant pas le cas dans le cas présent. Le Tribunal de céans ne saurait condamner l'un des ex-époux au versement d'un montant en espèces à l'autre. Il ne peut intervenir que dans la situation opposant les institutions de prévoyance aux demandeurs.</w:t>
      </w:r>
    </w:p>
    <w:p>
      <w:r>
        <w:rPr>
          <w:b/>
        </w:rPr>
        <w:t>E. 3</w:t>
      </w:r>
    </w:p>
    <w:p>
      <w:r>
        <w:t>En l’espèce, le juge de première instance a ordonné le partage par moitié des prestations de sortie acquises durant le mariage par les demandeurs. Les dates pertinentes sont, d’une part, celle du mariage, le 31 août 1990, d’autre part le 13 juin 2009, date à laquelle le jugement de divorce est devenu exécutoire. Le Tribunal de céans ne peut que procéder au partage des avoirs LPP selon la clé de répartition déterminée par le juge civil.</w:t>
      </w:r>
    </w:p>
    <w:p>
      <w:r>
        <w:rPr>
          <w:b/>
        </w:rPr>
        <w:t>E. 4</w:t>
      </w:r>
    </w:p>
    <w:p>
      <w:r>
        <w:t>Selon les documents produits, la prestation acquise pendant le mariage par le demandeur est de 88'870 fr. (101'005 fr. 05 - 12'135 fr. 05), les intérêts ayant déjà été calculés par l'institution de prévoyance défenderesse. Quant à la demanderesse, n'ayant pas accumulé d'avoirs LPP, elle n'a pas de prestation de libre passage à partager. Aussi le demandeur doit-il à son ex-épouse le montant de 44'435 fr. (88'870 fr. : 2).</w:t>
      </w:r>
    </w:p>
    <w:p>
      <w:r>
        <w:t>A/3595/2009 5/6</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A/3595/2009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