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ATAS/678/2013 vom 20. Juni 2013</w:t>
      </w:r>
    </w:p>
    <w:p>
      <w:r>
        <w:t>GE Cour de justice, 2013-06-20, FR</w:t>
      </w:r>
    </w:p>
    <w:p>
      <w:r>
        <w:rPr>
          <w:b/>
        </w:rPr>
        <w:t xml:space="preserve">Quelle: </w:t>
      </w:r>
      <w:r>
        <w:t>https://mcp.opencaselaw.ch/entscheid/ge_gerichte_ATAS_678_2013</w:t>
      </w:r>
    </w:p>
    <w:p>
      <w:r>
        <w:t>FR: GE_GERICHTE ATAS/678/2013 du 20 juin 2013</w:t>
      </w:r>
    </w:p>
    <w:p>
      <w:r>
        <w:t>IT: GE_GERICHTE ATAS/678/2013 del 20 giugno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w:t>
      </w:r>
    </w:p>
    <w:p>
      <w:r>
        <w:t>A/3436/2012 - 4/7 - domicile de l’assuré (art. 58 al. 1 LPGA). Les délais fixés par la loi ne courent pas du 15 juillet au 15 août inclusivement (art. 38 al. 4 LPGA). b) S’agissant des prestations complémentaires cantonales, l’art. 43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w:t>
      </w:r>
    </w:p>
    <w:p>
      <w:r>
        <w:rPr>
          <w:b/>
        </w:rPr>
        <w:t>E. 4</w:t>
      </w:r>
    </w:p>
    <w:p>
      <w:r>
        <w:t>Le litige portant sur la question de savoir si c’est à juste titre que l’intimé réclame à sa bénéficiaire la restitution de 4'008 fr.</w:t>
      </w:r>
    </w:p>
    <w:p>
      <w:r>
        <w:rPr>
          <w:b/>
        </w:rPr>
        <w:t>E. 5</w:t>
      </w:r>
    </w:p>
    <w:p>
      <w:r>
        <w:t>En matière de prestations complémentaires fédérales, l'art. 9 al. 1 LPC prévoit que le montant de la prestation complémentaire annuelle correspond à la part des dépenses reconnues qui excède les revenus déterminants. Au nombre des dépenses reconnues figure notamment le loyer d’un appartement et les frais accessoires y relatifs, étant précisé que le montant est plafonné à 13 200 fr. pour les personnes seules (art. 10 al. 1 let. b LPC. Les mêmes règles s’appliquent au niveau cantonal, puisque la LPCC y renvoie (cf. art. 6).</w:t>
      </w:r>
    </w:p>
    <w:p>
      <w:r>
        <w:rPr>
          <w:b/>
        </w:rPr>
        <w:t>E. 6</w:t>
      </w:r>
    </w:p>
    <w:p>
      <w:r>
        <w:t>En l'espèce, il n’est pas contesté que la recourante a déménagé en septembre 2009 et qu'il en a résulté une baisse de loyer que l'intimé n'a pas pris en considération dans ses décisions précédentes. Le montant du nouveau loyer n'est pas non plus contesté. On précisera tout de même que, contrairement à ce que semble penser la recourante, son nouveau loyer n'a bel et bien été pris en compte qu'à partir de septembre 2009 et non de juillet 2009, ainsi que cela ressort des décisions du 5 juillet 2012. Les calculs ont été repris à compter du mois de juillet 2009 pour tenir compte de l'évolution de l'ensemble de la situation.</w:t>
      </w:r>
    </w:p>
    <w:p>
      <w:r>
        <w:rPr>
          <w:b/>
        </w:rPr>
        <w:t>E. 7</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(al. 2).</w:t>
      </w:r>
    </w:p>
    <w:p>
      <w:r>
        <w:t>A/3436/2012 - 5/7 -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L'obligation de restituer suppose,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w:t>
      </w:r>
    </w:p>
    <w:p>
      <w:r>
        <w:rPr>
          <w:b/>
        </w:rPr>
        <w:t>E. 8</w:t>
      </w:r>
    </w:p>
    <w:p>
      <w:r>
        <w:t>En l’espèce, c’est en juin 2012 que l’intimé a découvert la modification du loyer de sa bénéficiaire. Sa décision du 5 juillet 2012 est donc intervenue en temps utile. Le dossier produit par l'intimé ne comporte en effet aucun courrier de la recourante par lequel cette dernière aurait informé le SPC de son changement de loyer en 2009. A cet égard, on rappellera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w:t>
      </w:r>
    </w:p>
    <w:p>
      <w:r>
        <w:t>A/3436/2012 - 6/7 - En l'occurrence, force est de constater que la recourante n'a pu étayer les dires selon lesquels elle aurait informé l'intimé du changement de sa situation en 2009 déjà. Elle doit donc supporter les conséquences de cette absence de preuve. On relèvera en outre que la recourante n'a pas non plus attiré par la suite l'attention de l'intimé sur le fait que le montant du loyer indiqué dans les décisions qui lui ont été communiquées en 2010, 2011 et 2012 ne correspondait plus à la réalité. L’intimé était donc légitimé à revenir sur ses décisions antérieures et à les modifier avec effet ex tunc - c'est-à-dire à réclamer à la recourante le montant indument perçu. Eu égard aux considérations qui précèdent, le recours est rejeté, étant précisé qu’ainsi que l’a expliqué l’intimé, la bonne foi de la recourante et sa situation financière seront cas échéant examinées dans le cadre de la procédure de remise, laquelle pourra être entamée lorsque la décision de restitution sera entrée en force (ATF 132 V 42 consid. 1.2; ATF non publié 8C_602/2007 du 13 décembre 2007).</w:t>
      </w:r>
    </w:p>
    <w:p>
      <w:r>
        <w:t>A/3436/2012 - 7/7 -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