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ATAS/677/2021 vom 24. Juni 2021</w:t>
      </w:r>
    </w:p>
    <w:p>
      <w:r>
        <w:t>GE Cour de justice, 2021-06-24, FR</w:t>
      </w:r>
    </w:p>
    <w:p>
      <w:r>
        <w:rPr>
          <w:b/>
        </w:rPr>
        <w:t xml:space="preserve">Quelle: </w:t>
      </w:r>
      <w:r>
        <w:t>https://mcp.opencaselaw.ch/entscheid/ge_gerichte_ATAS_677_2021</w:t>
      </w:r>
    </w:p>
    <w:p>
      <w:r>
        <w:t>FR: GE_GERICHTE ATAS/677/2021 du 24 juin 2021</w:t>
      </w:r>
    </w:p>
    <w:p>
      <w:r>
        <w:t>IT: GE_GERICHTE ATAS/677/2021 del 24 giugno 2021</w:t>
      </w:r>
    </w:p>
    <w:p>
      <w:pPr>
        <w:pStyle w:val="Heading2"/>
      </w:pPr>
      <w:r>
        <w:t>Erwägungen</w:t>
      </w:r>
    </w:p>
    <w:p>
      <w:r>
        <w:rPr>
          <w:b/>
        </w:rPr>
        <w:t>E. 1</w:t>
      </w:r>
    </w:p>
    <w:p>
      <w:r>
        <w:t>a.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LPP; art. 142a du Code civil [CC - RS 210]). b. La compétence des autorités visées par l'art. 73 LPP est doublement définie. Elle l'est, tout d'abord, quant à la nature du litige : il faut que la contestation entre les parties porte sur des questions spécifiques de la prévoyance professionnelle, au sens étroit ou large. Ce sont donc principalement des litiges qui portent sur des prestations d'assurance, des prestations de libre passage (actuellement prestations</w:t>
      </w:r>
    </w:p>
    <w:p>
      <w:r>
        <w:t>A/370/2020 - 12/26 -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ATF 122 V 323 consid. 2b et les références). Cette compétence est également limitée par le fait que la loi désigne de manière non équivoque les parties pouvant être liées à une contestation, à savoir les institutions de prévoyance, les employeurs et les ayants droit (ATF 128 V 254 consid. 2a). Il s’agit des institutions de prévoyance enregistrées qui participent au régime de l’assurance obligatoire (art. 48 al. 1 LPP), avec la possibilité d’étendre la prévoyance au-delà des prestations minimales (institutions de prévoyance dites « enveloppantes »; art. 49 al. 2 LPP) ; ces institutions doivent revêtir la forme d’une fondation ou d’une société coopérative, ou être une institution de droit public (art. 48 al. 2 LPP et art. 331 al. 1 CO ; arrêt du Tribunal fédéral des assurances B.95/02 du 5 juin 2003 consid. 3.2). c. Selon l’art. 73 al. 3 LPP, le for est au siège ou domicile suisse du défendeur ou au lieu de l'exploitation dans laquelle l'assuré a été engagé. Selon l’art. 56 al. 1 de la loi instituant la Caisse de prévoyance de l'État de Genève du 14 septembre 2012 (LCPEG – B 5 22), en cas de contestation concernant l’application de la réglementation de la défenderesse, « l’assurée, l’employeur, la Caisse ou tout autre ayant droit peut ouvrir action auprès de la chambre des assurances sociales de la Cour de justice, sous réserve des objets relevant de la compétence de l’autorité de surveillance ». d. En l’espèce, la demande en paiement du 29 janvier 2020 porte sur le versement d’une rente d’invalidité découlant de la prévoyance professionnelle surobligatoire. Par ailleurs, tant le siège de la défenderesse que le lieu de l’exploitation dans laquelle la demanderesse avait été engagée se situent dans le canton de Genève. Partant, la compétence de la chambre de céans à raison de la matière et du lieu est établie.</w:t>
      </w:r>
    </w:p>
    <w:p>
      <w:r>
        <w:rPr>
          <w:b/>
        </w:rPr>
        <w:t>E. 2</w:t>
      </w:r>
    </w:p>
    <w:p>
      <w:r>
        <w:t>a. L’ouverture de l’action prévue à l’art. 73 al. 1 LPP n’est soumise, comme telle, à l’observation d’aucun délai (Raymond SPIRA, Le contentieux des assurances sociales fédérales et la procédure cantonale, Recueil de jurisprudence neuchâteloise, 1984). C'est pourquoi, en matière de prévoyance professionnelle, le juge ne peut pas renvoyer l'affaire aux organes de l'assurance pour complément d'instruction et nouveau prononcé (ATF 117 V 237 consid. 2). b. L’art. 73 al. 2 LPP se limite à fixer des règles-cadres de procédure. Celle-ci doit être simple, rapide et, en principe, gratuite. Lorsque le litige porte sur une contestation opposant ayant droit et institution de prévoyance, l’action est ouverte à l’initiative du premier par une écriture qui doit désigner l’institution de prévoyance visée et contenir des conclusions ainsi qu’une motivation. C’est donc la partie qui déclenche l’ouverture de la procédure et détermine l’objet du litige (maxime de</w:t>
      </w:r>
    </w:p>
    <w:p>
      <w:r>
        <w:t>A/370/2020 - 13/26 -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entendues (arrêt du Tribunal fédéral des assurances B.59/03 du 30 décembre 2003 consid. 4.1). c. Dans le canton de Genève, la procédure en matière de prévoyance professionnelle est régie par la loi sur la procédure administrative, du 12 septembre 1985 (LPA – E 5 10) et plus particulièrement par les art. 89A et ss. La demande respecte en l’espèce la forme prévue à l'art. 89B LPA. d. Par conséquent, elle est recevable.</w:t>
      </w:r>
    </w:p>
    <w:p>
      <w:r>
        <w:rPr>
          <w:b/>
        </w:rPr>
        <w:t>E. 3</w:t>
      </w:r>
    </w:p>
    <w:p>
      <w:r>
        <w:t>La LPP ne prévoit pas l’application de la loi fédérale sur la partie générale du droit des assurances sociales, du 6 octobre 2000 (LPGA − RS 830.1), si bien que cette loi-ci n’est pas applicable (art. 2 LPGA), en dehors des cas visés par l'art. 34a LPP (et le renvoi des art. 18 let. c et 23 let. c LPP à l'art. 8 al. 2 LPGA), lesquels ne concernent pas le présent litige (arrêt du Tribunal fédéral des assurances B.128/05 du 25 juillet 2006 consid. 1).</w:t>
      </w:r>
    </w:p>
    <w:p>
      <w:r>
        <w:rPr>
          <w:b/>
        </w:rPr>
        <w:t>E. 4</w:t>
      </w:r>
    </w:p>
    <w:p>
      <w:r>
        <w:t>La novelle du 3 octobre 2003 modifiant la LPP (1ère révision LPP) est entrée en vigueur le 1er janvier 2005 (sous réserve de certaines dispositions dont l'entrée en vigueur a été fixée au 1er avril 2004 et au 1er janvier 2006), entraînant la modification de nombreuses dispositions légales dans le domaine de la prévoyance professionnelle (RO 2004 1677). Conformément au principe selon lequel les règles applicables sont celles en vigueur au moment où les faits juridiquement déterminants se sont produits (ATF 130 V 445), le droit litigieux, dès lors qu'il porte sur des prestations durables qui n'ont pas encore acquis force de chose décidée, doit être examiné à l'aune des anciennes dispositions de la LPP en vigueur jusqu'au 31 décembre 2004, pour la période courant jusqu'à cette date, puis à celle de la nouvelle réglementation pour la période postérieure au 1er janvier 2005 (arrêt du Tribunal fédéral B.146/06 du 3 décembre 2007 consid. 3.2).</w:t>
      </w:r>
    </w:p>
    <w:p>
      <w:r>
        <w:rPr>
          <w:b/>
        </w:rPr>
        <w:t>E. 5</w:t>
      </w:r>
    </w:p>
    <w:p>
      <w:r>
        <w:t>Le litige porte sur le droit de la demanderesse à une rente d’invalidité de la prévoyance professionnelle plus étendue de la part de la défenderesse à compter du 1er septembre 2017.</w:t>
      </w:r>
    </w:p>
    <w:p>
      <w:r>
        <w:rPr>
          <w:b/>
        </w:rPr>
        <w:t>E. 6</w:t>
      </w:r>
    </w:p>
    <w:p>
      <w:r>
        <w:t>a.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 b. En matière de prévoyance obligatoire, les conditions d'octroi de prestations d’invalidité sont décrites aux art. 23 ss LPP.</w:t>
      </w:r>
    </w:p>
    <w:p>
      <w:r>
        <w:t>A/370/2020 - 14/26 - Selon l’art. 23 LPP (dans sa teneur en vigueur depuis le 1er janvier 2005), ont droit à des prestations d’invalidité les personnes qui sont invalides à raison de 40% au moins au sens de l’AI – à raison de 50% au moins jusqu’au 31 décembre 2004 −, et qui étaient assurées lorsqu’est survenue l’incapacité de travail dont la cause est à l’origine de l’invalidité (let. a). En vertu de l’art. 26 LPP, les dispositions de la loi fédérale du 19 juin 1959 sur l'assurance-invalidité (RS 831.20 ; art. 29 LAI) s'appliquent par analogie à la naissance du droit aux prestations d'invalidité (al. 1). D’après l’art. 29 LAI (dans sa teneur en vigueur depuis le 1er janvier 2008),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 c.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mais il correspond à la survenance de l'incapacité de travail dont la cause est à l'origine de l'invalidité. Sinon, il subsisterait dans bien des cas des lacunes dans la couverture d'assurance, notamment lorsque l'employeur - en raison justement de la maladie - résilie les rapports de travail avant l'écoulement de la période de carence d'une année instituée par l'art. 28 al. 1 let. b LAI. Ainsi donc, pour que la protection d'assurance découlant du deuxième pilier ne soit pas dépourvue de son efficacité, le risque d'invalidité doit également être couvert lorsqu'il survient après une longue maladie, et cela indépendamment du maintien de la couverture légale d'assurance; si l'institution de prévoyance a déjà effectué le transfert de la prestation de libre passage, elle n'est pas, pour autant, libérée de l'obligation éventuelle de verser ensuite une rente d'invalidité (ATF 123 V 262 consid. 1b). En d’autres termes, l'institution de prévoyance qui assurait l'intéressé lors de la survenance de l'incapacité de travail déterminante est tenue de prendre en charge aussi l'aggravation de l'invalidité (ATF 136 V 65 consid. 3.1). Les mêmes principes sont applicables en matière de prévoyance plus étendue, à tout le moins en l'absence de dispositions réglementaires ou statutaires contraires (ATF 136 V 65 consid. 3.2 ; arrêts du Tribunal fédéral 9C_155/2014 du 27 mars 2014 consid. 4.3.1 ; 9C_1036/2010 du 12 septembre 2011 consid. 2.1). d. L'art. 23 LPP a donc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le droit aux prestations ne</w:t>
      </w:r>
    </w:p>
    <w:p>
      <w:r>
        <w:t>A/370/2020 - 15/26 - découle pas du nouveau rapport de prévoyance; les prestations d'invalidité sont dues par l'ancienne institution, auprès de laquelle l'intéressé était assuré lorsque est survenue l'incapacité de travail à l'origine de l'invalidité (ATF 123 V 262 1c).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(ibid.). La connexité doit être à la fois matérielle et temporelle.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 elle est rompue si, pendant une certaine période, l'assuré est de nouveau apte à travailler. L'ancienne institution de prévoyance ne saurait, en effet, répondre de rechutes lointaines ou de nouvelles manifestations de la maladie plusieurs années après que l'assuré a recouvré sa capacité de travail (ibid.). La connexité temporelle entre l'incapacité de travail survenue durant le rapport de prévoyance et l'invalidité ultérieure est interrompue lorsque la personne concernée dispose d'une capacité de travail de plus de 80% dans une activité adaptée pendant plus de trois mois et que celle-ci lui permet de réaliser un revenu excluant le droit à une rente. Une capacité de travail de 80% ne suffit pas pour interrompre le lien de connexité temporelle (arrêt du Tribunal fédéral 9C_214/2019 consid. 4.2 et les références). e. 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être d’une certaine importance, ce qui signifie qu’elle doit atteindre 20% (arrêt du Tribunal fédéral 9C_748/2010 du 20 mai 2011 consid. 2.5 et les références ; arrêt du Tribunal fédéral des assurances B.105/03 du 14 mars 2005 consid. 1). En aucun cas, une atteinte à la santé qui n'a pas (encore) d'effet sur la capacité de travail de la personne assurée ne suffit pour le rattachement selon l'art. 23 LPP (arrêt du Tribunal fédéral des assurances B.49/03 du 23 septembre 2004 consid. 2.3). La preuve suffisante d'une limitation de la capacité fonctionnelle de travail déterminante sous l'angle du droit de la prévoyance professionnelle ne suppose pas forcément l'attestation médicale d'une incapacité de travail « en temps réel » (« echtzeitlich »). Toutefois, des considérations subséquentes et des suppositions spéculatives, comme par exemple, une incapacité médico-théorique établie rétroactivement après bien des années, ne suffisent pas. L'atteinte à la santé doit avoir eu des effets significatifs sur les rapports de travail ; en d'autres termes, la</w:t>
      </w:r>
    </w:p>
    <w:p>
      <w:r>
        <w:t>A/370/2020 - 16/26 - diminution de la capacité fonctionnelle de travail doit s'être manifestée sous l'angle du droit du travail, notamment par une baisse des prestations dûment constatée, un avertissement de l'employeur ou une accumulation d'absences du travail liées à l'état de santé (arrêt du Tribunal fédéral 9C_556/2019 du 4 novembre 2019 consid. 4.3 et la référence).</w:t>
      </w:r>
    </w:p>
    <w:p>
      <w:r>
        <w:rPr>
          <w:b/>
        </w:rPr>
        <w:t>E. 7</w:t>
      </w:r>
    </w:p>
    <w:p>
      <w:r>
        <w:t>a.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Il en va différemment lorsque l'institution adopte une définition qui ne concorde pas avec celle de l'assurance-invalidité, par exemple en cas d'invalidité dite « professionnelle » (c'est-à-dire en cas d'incapacité d'exercer l'activité habituelle).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 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(arrêt du Tribunal fédéral 9C_866/2018 du 11 juin 2019 consid. 3.2 et la référence). En vertu de l'art. 29 al. 1 LAI (dans sa teneur en vigueur depuis le 1er janvier 2008),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au-delà d'une période de six mois précédant le dépôt de la demande. En tant qu'elles ont pour objet une période antérieure, les constatations et autres appréciations des organes de l'assurance- invalidité n'ont, de fait, aucune force contraignante pour les organes de la prévoyance professionnelle (arrêt du Tribunal fédéral 9C_758/2017 du 5 mars 2018 consid. 5.2 et la référence citée), puisqu’il n’est pas exclu que l’incapacité de travail sur laquelle est fondé le droit à des prestations d’invalidité de la prévoyance professionnelle soit survenue avant la période de six mois précédant le dépôt de la demande AI. Aussi les organes de la prévoyance professionnelle ne sont-ils pas liés, dans ce cas, par les constatations des organes de l’assurance-invalidité pour fixer le début de l’incapacité de travail déterminante pour la prévoyance professionnelle (arrêt du Tribunal fédéral 9C_53/2012, 9C_59/2012 du 18 février 2013 consid. 6.1). b. La faculté réservée aux institutions de prévoyance d'adopter une définition de la notion d'invalidité qui ne concorde pas avec celle de l'assurance-invalidité</w:t>
      </w:r>
    </w:p>
    <w:p>
      <w:r>
        <w:t>A/370/2020 - 17/26 - n’implique cependant pas un pouvoir discrétionnaire. Lorsqu'elles adoptent dans leurs statuts ou règlements un certain système d'évaluation, elles doivent se conformer, dans l'application des critères retenus, aux conceptions de l'assurance sociale ou aux principes généraux. Autrement dit, si elles ont une pleine liberté dans le choix d'une notion, elles sont tenues de donner à celle-ci sa signification usuelle et reconnue en matière d'assurance (arrêt du Tribunal fédéral 9C_866/2018 du 11 juin 2019 consid. 5.3.2 et la référence).</w:t>
      </w:r>
    </w:p>
    <w:p>
      <w:r>
        <w:rPr>
          <w:b/>
        </w:rPr>
        <w:t>E. 8</w:t>
      </w:r>
    </w:p>
    <w:p>
      <w:r>
        <w:t>Aux termes de l'art. 49 al. 1 LPP, les institutions de prévoyance peuvent adopter - dans les limites de la loi - le régime de prestations, le mode de financement et l'organisation qui leur conviennent. D'après l'art. 49 al. 2 LPP, lorsque l'institution étend la prévoyance au-delà des prestations minimales, seules certaines dispositions s'appliquent à la prévoyance plus étendue, en particulier celles qui ont trait au contentieux (art. 73 et 74) et à l’information des assurés (art. 86b). Cela ne signifie toutefois pas qu’elle ne doit tenir compte que des dispositions de la LPP expressément réservées à l'art. 49 al. 2 LPP (arrêt du Tribunal fédéral des assurances B.87/04 du 21 décembre 2005 consid. 5.5.1).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149 et 278 consid. 3.1; ATF 130 V 369 consid. 6.4; ATF 115 V 103 consid. 4b). Les institutions de prévoyance qui étendent la prévoyance au-delà des exigences minimales de la LPP (prévoyance surobligatoire ou plus étendue) sont dites enveloppantes (ATF 138 V 176 consid. 5.3 et les références) et offrent en principe un plan de prestations unique, qui inclut les prestations minimales et les améliore sans faire de différence entre prévoyance obligatoire et plus étendue (ATF 138 V 176 consid. 5.4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arrêt du Tribunal fédéral des assurances I.339/03 du 19 novembre 2003 consid. 2).</w:t>
      </w:r>
    </w:p>
    <w:p>
      <w:r>
        <w:t>A/370/2020 - 18/26 -</w:t>
      </w:r>
    </w:p>
    <w:p>
      <w:r>
        <w:rPr>
          <w:b/>
        </w:rPr>
        <w:t>E. 10</w:t>
      </w:r>
    </w:p>
    <w:p>
      <w:r>
        <w:t>a. À titre préalable, il convient de déterminer si ce sont les dispositions statutaires de la CEH (édition janvier 2001) – comme le soutient la demanderesse – ou les dispositions réglementaires (RCPEG, état au 10 février 2017) – ainsi que le fait valoir la défenderesse – qui sont applicables, étant précisé que l’ensemble des droits et obligations de la CIA et de la CEH, en particulier les rapports de prévoyance en faveur des membres salariés ainsi que les rapports d'affiliation avec les employeurs, découlant de la loi ou des conventions d'affiliation, ont été transférés à la défenderesse avec effet au 1er janvier 2014, par succession universelle suite à la fusion opérée entre ces deux caisses (art. 60 LCPEG). b. 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règlementaires ou statutaires des institutions de prévoyance (ATF 138 V 176 consid. 7.1 ; ATF 127 V 309 consid. 3b; ATF 121 V 97 consid. 1a). Leur application ne soulève pas de difficultés en présence d’un événement unique, qui peut être facilement isolé dans le temps (ATF 126 V 163 consid. 4b et la référence).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121 V 97 consid. 1a). En cas de prestation d’invalidité, l'état de fait dont découle le droit aux prestations de prévoyance n'est pas le début de l'incapacité de travail, considéré comme un événement isolé dans le temps, mais l'incapacité de travail comme telle, qui est un état de fait durable. La situation juridique qui donne lieu à une rente d'invalidité n'est donc pas ponctuelle. Elle perdure jusqu'au moment de la naissance du droit aux prestations. En cas de modification réglementaire durant cette période et conformément aux principes susmentionnés, ce sont les nouvelles règles qui sont applicables, sauf disposition contraire. Les anciennes règles n'attachent aucune conséquence juridique particulière à la date de la survenance de l'incapacité de travail, tant et aussi longtemps que cette incapacité ne fonde pas un droit à des prestations d’invalidité (ATF 121 V 97 consid. 1c). c. Selon l’art. 27 des statuts de la CEH (édition janvier 2001), l’invalidité est une atteinte durable à la santé physique ou mentale de l’assuré entraînant une incapacité partielle ou totale de remplir sa fonction ou toute autre fonction pouvant raisonnablement être exigée de lui (al. 1). L’assuré reconnu invalide par l’assurance-invalidité fédérale (AI) l’est également par la Caisse (al. 2, 1ère phrase). Dans des cas particuliers, l’assuré peut être reconnu invalide au sens de l’alinéa 1 par décision du comité (al. 3, 1ère phrase). Le droit à la pension naît en même temps que le droit à la rente de l’AI, sous réserve des cas découlant de l’application de l’alinéa 3 (al. 4).</w:t>
      </w:r>
    </w:p>
    <w:p>
      <w:r>
        <w:t>A/370/2020 - 19/26 - Selon l’art. 89B des dispositions finales et transitoires du RCPEG, pour les membres salariés présents dans les effectifs de la CIA ou de la CEH au 31 décembre 2013 qui perçoivent des prestations provisoires d’invalidité à compter du 1er janvier 2014, et dont le droit à la pension d’invalidité rétroagit à une date antérieure au 1er janvier 2014, la pension d’invalidité est déterminée selon les modalités définies dans les statuts de la CIA ou de la CEH en vigueur au moment de la survenance du cas d’invalidité, mais est au moins égale aux prestations provisoires d’invalidité versées jusque-là par la Caisse (al. 1). d. En l’occurrence, la demanderesse, qui n’a pas été reconnue invalide par décision du comité, a été mise au bénéfice d’une rente entière d’invalidité de l’AI à partir du 1er septembre 2017. Partant, aucun droit à la rente de la prévoyance professionnelle en sa faveur n’a pris naissance sous l’empire des statuts de la CEH précités. Le RCPEG du 23 mars 2013, entré en vigueur le 1er janvier 2014 (art. 65 al. 1 LCPEG), ne contient aucune disposition transitoire qui déclarerait applicables les anciennes dispositions statutaires, étant relevé que l’art. 89B RCPEG n’est pas pertinent, dès lors que la demanderesse ne perçoit pas de prestations provisoires d’invalidité depuis le 1er janvier 2014. En conséquence, le RCPEG est applicable pour déterminer le droit (éventuel) de la demanderesse à la rente d’invalidité de la prévoyance professionnelle plus étendue à laquelle elle prétend.</w:t>
      </w:r>
    </w:p>
    <w:p>
      <w:r>
        <w:rPr>
          <w:b/>
        </w:rPr>
        <w:t>E. 11</w:t>
      </w:r>
    </w:p>
    <w:p>
      <w:r>
        <w:t>Selon l’art. 32 RCPEG, l'invalidité est une atteinte durable à la santé physique ou mentale du membre salarié entraînant une incapacité partielle ou totale de remplir sa fonction ou toute autre fonction analogue au service de l'État ou d'une institution externe. Selon l’art. 33 RCPEG, intitulé « invalidité selon l’AI », le membre salarié reconnu invalide par l'AI l'est également par la Caisse, pour autant qu'il ait été assuré auprès d'elle lorsqu'est survenue l'incapacité de travail dont la cause est à l'origine de l'invalidité. Il l'est à concurrence du taux d'incapacité de travail durable constaté à la fin des rapports de service et de prévoyance. La pension est allouée à la demande de l'intéressé ou de l'employeur (al. 1). Le degré d'invalidité est celui reconnu par l'AI (al. 2). Le droit à la pension naît en même temps que le droit à la rente de l'AI (al. 3). En cas d’aggravation du degré d’invalidité reconnue par l’AI, la pension versée par la Caisse est adaptée dans la même proportion et à la même date, pour autant que l’aggravation de l’incapacité de travail durable soit survenue avant la fin des rapports de service et de prévoyance. Demeurent réservées les prestations minimales de la LPP (al. 4). Aux termes de l’art. 1 de la directive d’application de l’invalidité et de l’invalidité réglementaire de la défenderesse du 30 janvier 2014 (état au 13 janvier 2017), relatif à la reconnaissance de l’invalidité selon l’art. 33 RCPEG, l’administration procède à l’examen du dossier et vérifie qu’elle dispose de l’ensemble des documents requis et informations nécessaires, en particulier de la décision de l’AI.</w:t>
      </w:r>
    </w:p>
    <w:p>
      <w:r>
        <w:t>A/370/2020 - 20/26 - Elle peut demander toute information ou document complémentaire à la ou au salarié-e ou à l’employeur ou l’employeuse et leur impartir un délai à cette fin (al. 1). Sur la base du dossier, l’administration détermine si les conditions d’une reconnaissance sont remplies, calcule et ouvre la pension d’invalidité (al. 2). Selon l’art. 34 RCPEG, intitulé « invalidité réglementaire », le comité fixe par règlement les modalités de la reconnaissance de l'invalidité et de son degré en cas de refus de rente ou d'octroi d'une rente qui n'est pas entière de la part de l'AI, ou encore lorsque le degré d'invalidité demandé est inférieur au minimum requis par l'AI (let. a) ; lorsque l'intéressé accepte, en raison de son invalidité, d'être déplacé dans une autre fonction moins rémunérée, la pension est calculée sur la différence entre l'ancien et le nouveau traitement assuré, à taux d'activité identique (let. b). Le droit à la pension d’invalidité réglementaire naît à la date d’introduction de la demande ou à la date du changement de fonction (art. 35 RCPEG). La demande de mise à l'invalidité selon l'article 34 al. 1 let. a RCPEG est présentée par écrit par l’employeur ou l’employeuse ou la ou le salarié-e, accompagnée de la décision de l’AI (art. 2 al. 1 de la directive précitée).</w:t>
      </w:r>
    </w:p>
    <w:p>
      <w:r>
        <w:rPr>
          <w:b/>
        </w:rPr>
        <w:t>E. 12</w:t>
      </w:r>
    </w:p>
    <w:p>
      <w:r>
        <w:t>La défenderesse est une institution enveloppante dans la mesure où elle n'opère pas de distinction entre prestations découlant de la prévoyance obligatoire et prestations découlant de la prévoyance plus étendue (ATAS/981/2019 du 28 octobre 2019 consid. 10c). En outre, elle est une institution de prévoyance de droit public, comme cela ressort de l'art. 2 al. 1 LCPEG. Le sens de ses dispositions réglementaires doit ainsi être recherché selon les règles applicables en matière d'interprétation des lois (arrêt du Tribunal fédéral 9C_886/2018 du 4 juillet 2019 consid. 3.4). La loi s'interprète en premier lieu selon sa lettre. Ce n'est que si le texte n'est pas absolument clair qu'il faut rechercher la véritable portée de la norme en la dégageant des travaux préparatoires, de son but, de son esprit, des valeurs qui la sous-tendent ou de sa relation avec d'autres dispositions légales (ATF 130 V 479 consid. 5.2 et les références). Le Tribunal fédéral a déjà eu l'occasion de s'exprimer sur la définition de l'invalidité selon l’art. 28 al. 1 des statuts de la CIA, dont la teneur est identique à l’art. 32 RCPEG. Il a ainsi constaté que la notion statutaire/réglementaire d'invalidité est plus large que celle qui résulte de la LAI dans la mesure où elle établit une invalidité de fonction qui n'exige pas la prise en considération d'une activité raisonnablement exigible sur l'ensemble du marché du travail pertinent pour l'intéressé, si bien que celui-ci peut être mis au bénéfice d'une rente statutaire/réglementaire d'invalidité sans forcément remplir les conditions fixées dans la LAI (cf. arrêt du Tribunal fédéral 9C_833/2013 du 18 mars 2014 consid. 5.2 et les références). À la différence de l'art. 8 LPGA, la définition réglementaire assimile l'invalidité à l'atteinte à la santé et pas à l'incapacité de gain. En définitive, si une atteinte affecte la santé physique ou mentale d'un salarié, si elle peut être qualifiée de durable et si elle génère une incapacité partielle ou totale à remplir la fonction exercée précédemment ou toute autre fonction analogue au service de</w:t>
      </w:r>
    </w:p>
    <w:p>
      <w:r>
        <w:t>A/370/2020 - 21/26 - l'État ou d'une institution externe, alors on parle d'invalidité. Le salarié souffrant d'une atteinte durable à la santé qui cause chez lui une incapacité à remplir son travail habituel doit donc être qualifié d'invalide (arrêt précité consid. 5.3 ; ATAS/981/2019 du 28 octobre 2019 consid. 10c). Eu égard à la notion élargie d'invalidité retenue par le règlement de prévoyance, il peut donc arriver qu'un assuré soit mis au bénéfice d'une pension d'invalidité de la prévoyance professionnelle surobligatoire sans remplir les conditions fixées par la LAI. À l'inverse, la notion d'invalidité reconnue par l'assurance-invalidité, plus étroite, se confond nécessairement avec la notion d'invalidité professionnelle, de sorte que l'assuré à qui l'assurance-invalidité a reconnu un droit à une rente (entière ou partielle) remplit par définition les conditions de l'invalidité professionnelle à hauteur de la rente allouée (cf. arrêts du Tribunal fédéral 9C_866/2018 du 11 juin 2019 consid. 5.3.1 et 9C_644/2014 du 13 juillet 2015 consid. 7.5 ; ATAS/981/2019 du 28 octobre 2019 consid. 10c).</w:t>
      </w:r>
    </w:p>
    <w:p>
      <w:r>
        <w:rPr>
          <w:b/>
        </w:rPr>
        <w:t>E. 13</w:t>
      </w:r>
    </w:p>
    <w:p>
      <w:r>
        <w:t>a. En l’espèce, l’art. 34 let. a RCPEG, qui implique un refus de rente de l’assurance-invalidité, n’est pas applicable, puisque la demanderesse a été mise au bénéfice d’une rente entière d’invalidité de l’assurance-invalidité. La let. b de cet article n’est pas applicable non plus, dès lors que la demanderesse n’a pas été déplacée dans une autre fonction moins rémunérée. Du reste, celle-ci n’a jamais présenté une demande de mise à l’invalidité au sens de cette disposition. b/aa. Il convient donc d’examiner si la demanderesse a droit à une pension d’invalidité au sens de l’art. 33 RCPEG, étant rappelé que la naissance du droit à une rente de l'assurance-invalidité a pour effet d’ouvrir le droit à une pension de la prévoyance professionnelle conformément à cette disposition à la condition que la demanderesse ait été assurée auprès de la défenderesse lorsqu’est survenue l’incapacité de travail dont la cause est à l’origine de l’invalidité. Le règlement de la défenderesse ne subordonne pas la prise en charge de la pension d’invalidité étendue à l’existence de la qualité d’assuré au moment de la naissance du droit à la rente de l’assurance-invalidité – autrement dit, le règlement ne déroge pas à l’art. 23 LPP en ce qui concerne le moment où la qualité d’assuré, que présuppose l’obligation de prestations, doit exister. Quoi qu’en dise la demanderesse, la chambre de céans a déjà relevé que le Tribunal fédéral, dans l’arrêt 9C_833/2013 précité (consid. 5.3), avait indiqué que la définition de l’invalidité statutaire/réglementaire ne permettait pas de relier la qualité de salarié (ou d’assuré) à la naissance du droit à la rente, qui correspondait en l’espèce à celle du droit à la rente de l’assurance-invalidité (art. 28 al. 4 des statuts de la CIA, à l’instar de l’art. 33 al. 3 RCPEG). En revanche, la qualité de salarié doit exister lorsque commence l’incapacité de travail à l’origine de l’invalidité (ATAS/755/2016 du 21 septembre 2016 consid. 7b). L’art. 33 al. 4 RCPEG, par contre, fait dépendre le droit à la révision de la pension d’invalidité étendue – en cas de détérioration du degré de l’invalidité reconnue par</w:t>
      </w:r>
    </w:p>
    <w:p>
      <w:r>
        <w:t>A/370/2020 - 22/26 - l’AI − de l’existence du rapport de prévoyance au moment de l’aggravation de l’incapacité de travail durable. Il s’ensuit que, contrairement à ce que prétend la demanderesse, les principes dégagés par la jurisprudence sous l’angle de l’art 23 LPP doivent s’appliquer dans le cas d’espèce (cf. consid. 6c ss supra) pour déterminer si elle a droit à une pension d’invalidité étendue, étant relevé que, au vu de la teneur de l’art. 33 al. 4 RCPEG, c’est en cas d’augmentation ultérieure du taux d’invalidité que cette jurisprudence ne trouve pas application dans la prévoyance étendue (cf. Marc HÜRZELER, Commentaire des assurances sociales suisses, LPP et LFLP, 2020, n. 58 ad art. 23 LPP). b/bb. Cela étant précisé, il y a lieu de déterminer si la demanderesse, pour prétendre à une pension d’invalidité étendue, était affiliée auprès de la défenderesse au moment de la survenance de l’incapacité de travail dont la cause est à l’origine de l’invalidité. Certes, le droit à la rente de la prévoyance professionnelle selon le règlement de la défenderesse est en premier lieu calqué sur la décision de l'OAI (ATAS/228/2021 du 11 mars 2021 consid. 11). À cet égard, en ce qui concerne le début de l'incapacité de travail initiale (à 50 %) fixé par l’OAI au 17 mai 1989, dès lors que la demande de prestations AI a été déposée tardivement – le 7 mars 2017 −, et que la période litigieuse remonte à plus de vingt-sept ans avant le dépôt de cette demande, la défenderesse, contrairement à ce qu’elle semble croire, n’était pas liée par l’appréciation de l’OAI pour fixer le début de l’incapacité de travail déterminante pour la prévoyance professionnelle. Cela étant, la date retenue par la défenderesse, fondée sur les constatations de l'OAI, s’avère correcte. En effet, dans sa réplique du 30 mars 2020, ainsi que dans son écriture du 28 septembre 2020, la demanderesse reconnaît avoir présenté une incapacité de travail de 50% du 17 mai 1989 au 24 avril 2017. Il ressort du rapport de la Dresse C______ (médecin traitant) du 16 mars 2017, ainsi que du courrier de la demanderesse du 14 novembre 2017 adressé à l’OAI, que cette dernière avait pris la décision de réduire son taux d’activité à 50% dès le 17 mai 1989 en raison de sa maladie (anorexie mentale) et que son manque à gagner était compensé par l’aide matérielle fournie par ses parents. L’arrêt de travail que s’était « auto-administré » la demanderesse permet d’expliquer pourquoi ne figure pas au dossier d’incapacité de travail « en temps réel ». Le rapport de la Dresse C______ du 22 août 2019 – postérieur à la prise de position de la défenderesse du 13 août 2019 –, selon lequel l’arrêt de travail effectif remontait à avril 2017 et que jusque-là la demanderesse pouvait travailler sans restriction médicale, ne convainc pas, puisqu’à la lecture du rapport précédent et du courrier précité, la demanderesse ne pouvait pas supporter une activité professionnelle à un taux supérieur à 50% depuis la survenance de son atteinte à la</w:t>
      </w:r>
    </w:p>
    <w:p>
      <w:r>
        <w:t>A/370/2020 - 23/26 - santé en 1989. C’est dire que sa maladie avait affecté sa capacité de travail dès le</w:t>
      </w:r>
    </w:p>
    <w:p>
      <w:r>
        <w:rPr>
          <w:b/>
        </w:rPr>
        <w:t>E. 17</w:t>
      </w:r>
    </w:p>
    <w:p>
      <w:r>
        <w:t>mai 1989 avec pour conséquence qu’elle avait été contrainte de réduire son activité à 50%. Le certificat de la Permanence médico-chirurgicale de Chantepoulet SA du 5 juillet 2001, aux termes duquel la demanderesse présentait une bonne santé et était apte à travailler, n’est pas déterminant, dès lors que ce document n’indique pas à quel taux celle-ci, atteinte en réalité dans sa santé, pouvait exercer une activité lucrative. Le certificat du 18 janvier 2002 établi par le Dr D______, médecin examinateur des HUG – ancien employeur de la demanderesse –, déclarant cette dernière apte à travailler pour le poste en question (commise administrative), ne permet pas de retenir qu’elle disposait d’une capacité de travail supérieure au taux d’activité (contractuel) de 50%. Le fait que le dossier ne contient pas de document selon lequel l’employeur a (ou n’a pas) constaté de baisse de rendement n’est pas non plus déterminant, car la demanderesse avait d’elle-même réduit son taux d’activité à 50%, taux qu’elle pouvait assumer malgré son atteinte à la santé (cf. rapport de la Dresse C______ PIRKL du 16 mars 2017). L’affirmation de la médecin traitant selon laquelle l’OAI avait reconnu un droit aux prestations dès 2017 seulement (cf. rapport du 22 août 2019) ne peut remettre en cause la présence d’une incapacité de travail dès le 17 mai 1989, dans la mesure où l'élément déterminant réside dans la diminution de la capacité de travail ; il s'agit d'une question d'ordre médical, dont la réponse ne saurait être influencée par le fait que la personne assurée a déposé tardivement une demande de prestations d'assurances sociales (cf. arrêt du Tribunal fédéral 9C_733/2017 du 16 mars 2018 consid. 5.4). Force est ainsi de conclure que l’incapacité de travail de la demanderesse existait depuis le 17 mai 1989, à une époque où elle n’était pas encore assurée auprès de la défenderesse, son affiliation ayant débuté en 1996. b/cc. Il n’est pas contesté que l’anorexie mentale, responsable de la survenance de l’incapacité de travail initiale, a conduit à l’attribution de la rente d’invalidité. Aussi convient-il d’admettre l’existence d’un lien de connexité matérielle entre l’incapacité de travail, survenue le 17 mai 1989, et l’invalidité qu’elle a entraînée, reconnue officiellement en septembre 2017. Contrairement à la thèse défendue par la demanderesse, dans la mesure où elle n’a pas présenté, depuis le 17 mai 1989, une capacité de travail de plus de 80% dans une activité adaptée pendant plus de trois mois, le lien de connexité temporelle n’a pas été interrompu. Peu importe à cet égard qu’elle ait réalisé au taux d’activité de 50% un revenu supérieur à celui qu’elle touchait en travaillant à plein temps au B______ avant la survenance de son incapacité de travail, puisque selon la jurisprudence récente du Tribunal fédéral, même une capacité de travail de 80% dans une activité adaptée ne suffit pas pour interrompre le lien de connexité</w:t>
      </w:r>
    </w:p>
    <w:p>
      <w:r>
        <w:t>A/370/2020 - 24/26 - temporelle (arrêt 9C_214/2019 du 12 décembre 2019 consid. 4.2). La réalisation d’un revenu excluant le droit à une rente d’invalidité n’apparaît déterminante que si l’intéressé dispose dans une activité raisonnablement exigible (autre que sa profession habituelle) d’une capacité de travail (presque) entière (arrêt du Tribunal fédéral 9C_7/2017 du 4 avril 2017 consid. 4.1). Or, en l’espèce, l’activité qu’exerçait la demanderesse à 50% auprès des HUG en tant que commise administrative n’était pas différente de celle qu’elle effectuait en tant que secrétaire auprès du B______ à plein temps. En d’autres termes, la connexité temporelle n’aurait pu être interrompue que si la demanderesse avait disposé d’une capacité de travail de plus de 80% dans une activité adaptée (autre que dans le domaine administratif) pendant plus de trois mois et que cette activité lui avait permis de réaliser un revenu excluant le droit à une rente (arrêt du Tribunal fédéral 9C_214/2019 du 12 décembre 2019 consid. 4.2). C’est la capacité de travail dans une activité adaptée qui est pertinente pour l’examen du lien de connexité temporelle, et non à elle seule la réalisation d’un revenu excluant le droit à une rente (arrêt du Tribunal fédéral 9C_7/2017 du 4 avril 2017 consid. 4.1). En conséquence, faute d’interruption du lien de connexité temporelle et matérielle, il n’incombe pas à la défenderesse de verser une rente d’invalidité étendue à la demanderesse. c. Contrairement à ce que fait valoir la demanderesse, on ne peut transposer au cas d’espèce la jurisprudence de l’arrêt du Tribunal fédéral des assurances B.101/02 du</w:t>
      </w:r>
    </w:p>
    <w:p>
      <w:r>
        <w:rPr>
          <w:b/>
        </w:rPr>
        <w:t>E. 22</w:t>
      </w:r>
    </w:p>
    <w:p>
      <w:r>
        <w:t>août 2003. Dans cet arrêt, l’assurée était déjà reconnue invalide par l’OAI au moment de son affiliation auprès de l’institution de prévoyance recourante, caisse enveloppante accordant des prestations d’invalidité en se basant sur les décisions de l’OAI, qui avait expressément confirmé à celle-ci qu’elle l’assurait sans réserve dans la prévoyance pour la mise en valeur de sa capacité résiduelle de travail à 50%. Le Tribunal a estimé que l’assurée pouvait se fier à la déclaration de l’institution de prévoyance et considérer qu’elle bénéficiait de la couverture d’assurance étendue en cas d’aggravation de sa capacité de gain résiduelle consécutive à l’atteinte à la santé préexistante (cf. également Bulletin de la prévoyance professionnelle n°74 du 30 avril 2004 édité par l'Office fédéral des assurances sociales, ch. 433 ; HÜRZELER, op cit., n. 59 ad art. 23 LPP). Or, en l’espèce, quand bien même l’affiliation de la demanderesse auprès de la défenderesse en 1996 n’était pas grevée d’une réserve, celle-là, dont la capacité de travail était limitée à 50%, n’avait de toute manière pas été reconnue invalide par l’OAI à cette époque. L’allocation d’une rente entière de l’OAI en septembre 2017, au cours de la période d’assurance, ne résulte donc pas d’une détérioration d’une invalidité partielle préexistante. Comme le relève la demanderesse, selon la jurisprudence relative à l’art. 9 LCA − qui régit la nullité du contrat si au moment où il a été conclu, le risque avait déjà</w:t>
      </w:r>
    </w:p>
    <w:p>
      <w:r>
        <w:t>A/370/2020 - 25/26 - disparu ou si le sinistre était déjà survenu, applicable par analogie en matière de prévoyance professionnelle étendue (ATF 128 V 243 consid. 5a et les références) −, il est possible, si un sinistre partiel est déjà survenu, d’assurer le risque afférant à l’autre partie, si la couverture de celui-ci est aléatoire (arrêt du Tribunal fédéral 4A_352/2014 du 9 février 2015 consid. 4.1.1 et les références). En l’occurrence, il est vrai que, postérieurement à la survenance de son incapacité de travail partielle le 17 mai 1989, la demanderesse a été mise au bénéfice de la prévoyance professionnelle étendue auprès de la défenderesse pour la mise en valeur de sa capacité de travail résiduelle de 50%. Cela étant, elle n’aurait droit à une pension d’invalidité étendue, conformément au règlement applicable, que si la part restante de sa capacité de travail disparaissait au cours de la période d’assurance en raison d’une atteinte à la santé différente de celle qui est à l’origine de sa première incapacité partielle ayant entraîné son invalidité en septembre 2017. Admettre l’argumentation que développe la demanderesse reviendrait à vider l’art. 33 al. 1 RCPEG de sa substance. Ainsi qu’il a été exposé au consid. 13b supra, la perte de la capacité de travail résiduelle en avril 2017 est due à la même atteinte à la santé que celle pour laquelle la demanderesse ne disposait que d’une incapacité de travail initiale de 50%. Aussi, faute d’interruption du lien de connexité matérielle, y a-t-il lieu de lui nier le droit à des prestations d’invalidité de la prévoyance professionnelle étendue. Enfin, dans le même ordre d’idée, c’est à tort que la demanderesse reproche à la défenderesse de ne pas l’avoir informée du fait que sa couverture d’assurance pour sa capacité de travail résiduelle aurait été supprimée lors de l’entrée en vigueur du RCPEG. Comme on vient de le relever, la demanderesse bénéficiait de la couverture d’assurance pour sa capacité de travail résiduelle, ce pour autant que la détérioration de celle-ci soit causée par une nouvelle atteinte à la santé. Au regard de l’art. 9 LCA et dudit règlement, applicable au cas d’espèce (cf. consid. 10 ci- dessus), c’est l’anorexie mentale et l’incapacité de travail y relative qui reste exclue de la prévoyance étendue. 14. Eu égard aux considérations qui précèdent, la demande ne peut qu’être rejetée. 15. La demanderesse, qui succombe, n’a pas droit à des dépens (art. 89H al. 3 LPA a contrario ; ATAS/980/2009 du 23 juillet 2009). 16. Pour le surplus, la procédure est gratuite (art. 73 al. 2 LPP ; art. 89H al. 1 LPA).</w:t>
      </w:r>
    </w:p>
    <w:p>
      <w:r>
        <w:t>A/370/2020 - 26/26 -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