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ATAS/677/2016 vom 30. August 2016</w:t>
      </w:r>
    </w:p>
    <w:p>
      <w:r>
        <w:t>GE Cour de justice, 2016-08-30, FR</w:t>
      </w:r>
    </w:p>
    <w:p>
      <w:r>
        <w:rPr>
          <w:b/>
        </w:rPr>
        <w:t xml:space="preserve">Quelle: </w:t>
      </w:r>
      <w:r>
        <w:t>https://mcp.opencaselaw.ch/entscheid/ge_gerichte_ATAS_677_2016</w:t>
      </w:r>
    </w:p>
    <w:p>
      <w:r>
        <w:t>FR: GE_GERICHTE ATAS/677/2016 du 30 août 2016</w:t>
      </w:r>
    </w:p>
    <w:p>
      <w:r>
        <w:t>IT: GE_GERICHTE ATAS/677/2016 del 30 agosto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A/229/2015 - 14/24 - LPA), les dispositions spécifiques que la LAI contient sur la procédure restant réservées (art. 1 al. 1 LAI ; cf. notamment art 69 LAI). Le recours dirigé contre le refus de l’intimé du 18 décembre 2014 d’ordonner une ré-expertise rhumatologique du recourant par un autre médecin que le Dr U______ n’a plus d’objet, dès lors que cette décision a été annulée par l’intimé. Il sied de le constater, sans même aborder et a fortiori trancher la question de savoir s’il ne s’agissait pas d’une décision incidente non sujette à recours (art. 59 let. a et 89A LPA), d’autant plus eu égard à l’issue qui sera donnée au recours dirigé contre la décision de l’intimé du 11 février 2015 supprimant le droit du recourant à une rente d’invalidité. Ce second recours a été interjeté en temps utile (art. 60 al. 1 LPGA), la date de notification de la décision attaquée n’étant au demeurant pas établie du fait que cette décision a été envoyée par courrier simple. Il satisfait aux exigences de forme et de contenu prévues par l’art. 61 let. b LPGA (cf. aussi art. 89B LPA). Touché par ladite décision et ayant un intérêt digne de protection à son annulation ou sa modification, le recourant a qualité pour recourir contre cette décision (art. 59 LPGA). Ce second recours sera donc déclaré recevable.</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s'appliquent à l'assurance-invalidité, à moins que la loi n'y déroge expressément (art. 1 al. 1 LAI), il sied de préciser qu’à l’instar de la LPGA elle-même dans son ensemble, elles consacrent, en règle</w:t>
      </w:r>
    </w:p>
    <w:p>
      <w:r>
        <w:t>A/229/2015 - 15/24 -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La révision d’une rente d’invalidité (comme des autres prestations durables d’assurances sociales) est régie, de façon générale, par l’art. 17 LPGA. Elle suppose que le taux d’invalidité du bénéficiaire d’une telle rente ait subi une modification notable. Le point de savoir si un changement notable des circonstances s’est produit doit être tranché en comparant les faits tels qu’ils se présentaient au moment de la dernière révision de la rente entrée en force et les circonstances qui régnaient à</w:t>
      </w:r>
    </w:p>
    <w:p>
      <w:r>
        <w:t>A/229/2015 - 16/24 -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(arrêt du Tribunal fédéral des assurances I 406/05 du 13 juillet 2006 consid. 4.1 et les références). d. Avec le premier volet de la 6ème révision de la LAI, adopté le 18 mars 2011 et entré en vigueur le 1er janvier 2012, le législateur fédéral a prévu, à titre transitoire, des règles particulières sur le réexamen des rentes octroyées en raison d’un syndrome sans pathogenèse ni étiologie claires et sans constat de déficit organique. Selon ces règles, les rentes octroyées en raison d’un syndrome sans pathogenèse ni étiologie claires et sans constat de déficit organique devaient être réexaminées dans un délai de trois ans à compter de l’entrée en vigueur de cette modification ; cette disposition ne s’appliquait pas aux personnes qui avaient atteint 55 ans au moment de l’entrée en vigueur de cette modification, ou qui touchaient une rente de l’assurance-invalidité depuis plus de quinze ans au moment de l’ouverture de la procédure de réexamen. Si les conditions visées à l’art. 7 LPGA n’étaient pas remplies, la rente devait être réduite ou supprimée, même si les conditions de l’art. 17, al. 1, LPGA n’étaient pas remplies. En cas de réduction ou de suppression de sa rente, l’assuré avait droit aux mesures de nouvelle réadaptation au sens de l’art. 8a LAI ; cela ne lui donnait pas droit à la prestation transitoire prévue à l’art. 32, al. 1, let. c LAI. Durant la mise en œuvre de mesures de réadaptation au sens de l’art. 8a, l’assurance continuait de verser la rente à l’assuré, mais au plus pendant deux ans à compter du moment de la suppression ou de la réduction de la rente. Dans un arrêt 8C_972/2012 du 31 octobre 2013 publié aux ATF 139 V 547, le Tribunal fédéral a précisé que, pour qu’une révision fondée sur ces dispositions transitoires puisse intervenir en dérogation aux conditions fixées par l’art. 17</w:t>
      </w:r>
    </w:p>
    <w:p>
      <w:r>
        <w:t>A/229/2015 - 17/24 - LPGA, il fallait que la rente d’invalidité versée jusqu’ici ait été accordée uniquement en raison d’un syndrome sans pathogenèse ni étiologie claires et sans constat de déficit organique, et qu’au moment de la révision seul ce diagnostic devait subsister ; il fallait en outre examiner si l’état de santé de l’intéressé s’était dégradé et vérifier si les « critères de Foerster » étaient remplis et permettaient de conclure au caractère invalidant du trouble somatoforme douloureux.</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6c). Il doit examiner de manière objective tous les moyens de preuve, quelle qu'en soit la provenance, puis décider si les documents à disposition permettent de porter un jugement valable sur le droit litigieux (Ghislaine FRÉSARD-FELLAY, op. cit., n. 78).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w:t>
      </w:r>
    </w:p>
    <w:p>
      <w:r>
        <w:t>A/229/2015 - 18/24 -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w:t>
      </w:r>
    </w:p>
    <w:p>
      <w:r>
        <w:t>A/229/2015 - 19/24 -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5</w:t>
      </w:r>
    </w:p>
    <w:p>
      <w:r>
        <w:t>a. En l’espèce, l’intimé a fondé la décision attaquée uniquement sur lesdites dispositions transitoires de la révision dite 6a de la LAI, sans affirmer qu’il y aurait eu modification (en l’occurrence amélioration) notable de l’état de santé du recourant. Il a cependant développé sa réponse au recours sur l’existence d’une</w:t>
      </w:r>
    </w:p>
    <w:p>
      <w:r>
        <w:t>A/229/2015 - 20/24 - amélioration notable de l’état de santé du recourant, justifiant selon lui une suppression de rente. Compte tenu de l’issue à donner au recours, il n’est pas nécessaire de déterminer si les conditions d’application des dispositions transitoires considérées, telles que le Tribunal fédéral les a fixées, sont réunies ou non. Il appert en effet – ainsi que l’intimé l’a admis sur la base des pièces produites par le recourant en annexe à sa réplique – que, nonobstant les nombreux rapports et même expertises requis par l’intimé, l’instruction médicale du dossier apparaît susceptible d’avoir été lacunaire ou de n’avoir pas tenu compte de péjorations de l’état de santé du recourant, déjà en voie de réalisation lorsque l’intimé a rendu la décision attaquée. b. Des avis médicaux divergents ont été émis tout au long de l’instruction d’abord de la demande de rente d’invalidité présentée par le recourant, de 1999 à 2003, puis de la procédure de révision, de 2012 à 2015. Dans la mesure où les médecins admettaient une incapacité (totale ou partielle) de travail, dans l’activité habituelle ou une activité adaptée, il y avait divergence principalement sur le point de savoir si cette incapacité relevait du volet somatique ou du volet psychique. L’intimé ne s’est en réalité pas prononcé explicitement sur cette question dans sa décision du 17 décembre 2003 octroyant au recourant une rente entière d’invalidité, mais tout porte à considérer qu’il a retenu l’avis des experts de la CRR, à savoir qu’à une approche somatique de l’état de santé du recourant, il fallait préférer une approche psychosociale, et qu’ainsi – position que le recourant n’a jamais admise (du moins depuis qu’il a été conscient que tel était le fondement retenu par l’intimé), mais qu’il n’avait en tout état par intérêt à contester judiciairement, vu qu’une rente complète d’invalidité lui était accordée – son incapacité de travail tenait à un trouble somatoforme douloureux persistant associé à un trouble mixte de la personnalité à traits quérulents et anankastiques. C’est dans cette perspective que l’intimé a entrepris et mené la procédure de révision, toutefois non sans soumettre le recourant à une expertise pluridisciplinaire, dans les disciplines de la médecine interne, de la rhumatologie et de la psychiatrie. L’intimé a retenu l’avis des experts du CEMed, selon lesquels le recourant n’avait pas d’atteintes somatiques invalidantes et ne présentait pas non plus – ou plus non plus – d’atteintes à la santé psychique, et disposait ainsi d’une pleine capacité de travail dans son activité habituelle. Depuis la prise de la décision attaquée, les avis se sont multipliés ou, pour ceux qui avaient déjà été exprimés dans ce sens, ont pris davantage de poids que le recourant présentait des affections surtout somatiques, d’une part dont un lien avec la poliomyélite que celui-ci avait eu dans son enfance a été mis en évidence, et/ou d’autre part qui représentaient une péjoration de son état de santé physique, et ce – sied-il de souligner – pour des faits pour l’essentiel antérieurs à la prise de la décision attaquée. Référence est faite ici aux avis (résumés dans la partie «En fait ») des Drs Y______, Z______, AA______, AF______, AE______, AG______, C______ et AD______, ainsi qu’à la négation du psychiatre AB______ quant à</w:t>
      </w:r>
    </w:p>
    <w:p>
      <w:r>
        <w:t>A/229/2015 - 21/24 - l’existence d’une maladie psychiatrique (notamment tant un trouble somatoforme douloureux qu’un trouble mixte de la personnalité). La plupart de ces avis sont – ou du moins apparaissent – dûment motivés, comme – faut-il également dire – l’apparaissaient aussi ceux des experts de la CEMed. Certains de ces avis, revêtant du poids, sont invoqués nouvellement, tout en se rapportant à une période déjà antérieure à la décision attaquée. c. La chambre de céans ne saurait trancher en connaissance de cause, en l’état du dossier, entre les différents avis émis par les médecins et experts, déjà sur le point de savoir si les atteintes à la santé dont souffre le recourant sont (suffisamment) invalidantes et le cas échéant dans quelle mesure, et aussi si elles relèvent en définitive de la sphère somatique ou psychique ou des deux. Il est en revanche certain que la force probante du rapport d’expertise de la CEMed du 31 octobre 2013 et notamment du rapport d’expertise complémentaire du Dr U______ du 23 janvier 2015 se trouve en l’état ébranlée par la convergence et la motivation des avis médicaux des médecins précités. Le SMR et, à sa suite, l’intimé ont d’ailleurs admis qu’on dispose désormais « d’éléments permettant de retenir de façon certaine le diagnostic de syndrome post-poliomyélite », que l’appréciation faite de la situation du recourant est susceptible d’être modifiée, et qu’il faut compléter l’instruction du dossier.</w:t>
      </w:r>
    </w:p>
    <w:p>
      <w:r>
        <w:rPr>
          <w:b/>
        </w:rPr>
        <w:t>E. 6</w:t>
      </w:r>
    </w:p>
    <w:p>
      <w:r>
        <w:t>a. Un renvoi de la cause à l’autorité décisionnaire pour un complément d’instruction est possible, voire nécessaire, lorsqu’il s’agit de préciser un point d’une expertise administrative ou de demander un complément à des experts,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b. En l’espèce, la solution d’un renvoi de la cause à l’intimé pour instruction complémentaire s’impose pour plusieurs motifs. L’intimé la propose lui-même. Et cela répond à l’une des conclusions (certes subsidiaire) du recours, mais aussi à l’accord du recourant, dans la mesure où ce dernier a déclaré abonder dans le sens d’un renvoi du dossier à l’intimé. On peut admettre qu’il y a transaction dans le sens d’une annulation et d’un renvoi à l’intimé, au sens de l’art. 50 LPGA, aussi applicable en procédure de recours (art. 50 al. 3 LPGA). Peu importe que le recourant vienne de constituer un nouvel avocat. En tout état, dans la mesure où subsisterait – question restant en l’état ouverte – un trouble somatoforme douloureux, il n’y aurait plus lieu d’examiner s’il doit être reconnu invalidant, exceptionnellement, au regard des critères de la jurisprudence, postérieure à l’octroi de la rente AI supprimée par la décision attaquée, à savoir la</w:t>
      </w:r>
    </w:p>
    <w:p>
      <w:r>
        <w:t>A/229/2015 - 22/24 -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 l’existence – en cas de comorbidité psychiatrique – d’un état psychique cristallisé résultant d’un processus défectueux de résolution des conflits mais apportant un soulagement du point de vue psychique (ATF 132 V 65 ; 131 V 49 ; 130 V 352). Il faudrait appliquer la nouvelle jurisprudence (ATF 141 V 281), selon laquelle il n’y a plus de présomption que les syndromes du type troubles somatoformes douloureux et affections psychosomatiques assimilées peuvent être surmontés en règle générale par un effort de volonté raisonnablement exigible ;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sur la base d’une grille d’analyse comportant divers indicateurs qui rassemblent les éléments essentiels propres aux troubles de nature psychosomatique. Même si cette jurisprudence est postérieure à la prise de la décision attaquée, elle est applicable dans la mesure où cette décision n’est pas entrée en force même si elle a été déclarée exécutoire nonobstant recours. Enfin, il s’agit en l’occurrence en tout état de compléter l’instruction médicale du dossier sur des points importants, comme notamment le syndrome post- poliomyélite, les lésions de la coiffe des rotateurs de l’épaule droite, l’atteinte du poignet gauche, les autres tendinopathies. Il importe qu’une décision administrative soit rendue sur ces questions, plutôt qu’elle ne soient tranchées d’emblée en instance de recours. Un renvoi de la cause implique l’annulation de la décision attaquée.</w:t>
      </w:r>
    </w:p>
    <w:p>
      <w:r>
        <w:rPr>
          <w:b/>
        </w:rPr>
        <w:t>E. 7</w:t>
      </w:r>
    </w:p>
    <w:p>
      <w:r>
        <w:t>La chambre de céans admettra donc le recours, partiellement en tant que sa conclusion principale tendant à la reconnaissance du droit du recourant à une rente entière d’invalidité n’est pas admise (ni d’ailleurs rejetée sur le fond). Elle annulera la décision attaquée (ce qui implique que la rente d’invalidité octroyée au recourant soit versée à ce dernier rétroactivement depuis le jour où elle a été supprimée au bénéfice d’un retrait d’effet suspensif), et elle renverra la cause à l’intimé pour instruction médicale complémentaire puis nouvelle décision.</w:t>
      </w:r>
    </w:p>
    <w:p>
      <w:r>
        <w:rPr>
          <w:b/>
        </w:rPr>
        <w:t>E. 8</w:t>
      </w:r>
    </w:p>
    <w:p>
      <w:r>
        <w:t>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Le recourant obtenant partiellement gain de cause, une indemnité de CHF 1’000.- lui sera accordée à titre de participation à ses frais et dépens (art. 61 let. g LPGA;</w:t>
      </w:r>
    </w:p>
    <w:p>
      <w:r>
        <w:t>A/229/2015 - 23/24 - art. 6 du règlement sur les frais, émoluments et indemnités en matière administrative du 30 juillet 1986 [RFPA - E 5 10.03]), à la charge de l’intimé. Le bénéfice de l’assistance juridique n’implique pas qu’une telle indemnité ne doive pas être allouée ; elle est prise en compte par le service de l’assistance juridique, qui en a automatiquement connaissance au moment où il traite l’état de frais que lui adresse le moment venu l’avocat nommé d’office. * * * * * *</w:t>
      </w:r>
    </w:p>
    <w:p>
      <w:r>
        <w:t>A/229/2015 - 24/24 - PAR CES MOTIFS, LA CHAMBRE DES ASSURANCES SOCIALES : Statuant À la forme : 1. Constate que le recours de Monsieur A______ contre le refus de l’office de l’assurance-invalidité du canton de Genève du 18 décembre 2014 de le faire ré- expertiser par un autre médecin est devenu sans objet. 2. Déclare recevable le recours de Monsieur A______ contre la décision de l’office de l’assurance-invalidité du canton de Genève du 11 février 2015 supprimant son droit à une rente d’invalidité. Au fond : 3. L’admet partiellement. 4. Annule la décision de l’office de l’assurance-invalidité du canton de Genève du</w:t>
      </w:r>
    </w:p>
    <w:p>
      <w:r>
        <w:rPr>
          <w:b/>
        </w:rPr>
        <w:t>E. 11</w:t>
      </w:r>
    </w:p>
    <w:p>
      <w:r>
        <w:t>février 2015 supprimant le droit de Monsieur A______ à une rente d’invalidité. 5. Renvoie la cause à l’office de l’assurance-invalidité du canton de Genève pour instruction complémentaire puis nouvelle décision. 6. Met un émolument de CHF 200.- à la charge de l’office de l’assurance-invalidité du canton de Genève. 7. Alloue une indemnité de procédure de CHF 1’000.- à Monsieur A______ à la charge de l’office de l’assurance-invalidité du canton de Genève.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