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ATAS/677/2013 vom 20. Juni 2013</w:t>
      </w:r>
    </w:p>
    <w:p>
      <w:r>
        <w:t>GE Cour de justice, 2013-06-20, FR</w:t>
      </w:r>
    </w:p>
    <w:p>
      <w:r>
        <w:rPr>
          <w:b/>
        </w:rPr>
        <w:t xml:space="preserve">Quelle: </w:t>
      </w:r>
      <w:r>
        <w:t>https://mcp.opencaselaw.ch/entscheid/ge_gerichte_ATAS_677_2013</w:t>
      </w:r>
    </w:p>
    <w:p>
      <w:r>
        <w:t>FR: GE_GERICHTE ATAS/677/2013 du 20 juin 2013</w:t>
      </w:r>
    </w:p>
    <w:p>
      <w:r>
        <w:t>IT: GE_GERICHTE ATAS/677/2013 del 20 giugno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A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recours est recevable (art. 56 et 60 LPGA, art. 89B de la loi sur la procédure administrative, du 12 septembre 1985 - LPA; E 5 10).</w:t>
      </w:r>
    </w:p>
    <w:p>
      <w:r>
        <w:rPr>
          <w:b/>
        </w:rPr>
        <w:t>E. 4</w:t>
      </w:r>
    </w:p>
    <w:p>
      <w:r>
        <w:t>Le litige porte sur la question de savoir si l'intimée est fondée à nier le droit du recourant à l'indemnité de chômage à compter du 1er mai 2012 au motif qu’il n’est pas domicilié en Suisse.</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t>A/3399/2012 - 5/8 - Ces conditions sont cumulatives (ATF 124 V 218 consid. 2). b)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w:t>
      </w:r>
    </w:p>
    <w:p>
      <w:r>
        <w:rPr>
          <w:b/>
        </w:rPr>
        <w:t>E. 7</w:t>
      </w:r>
    </w:p>
    <w:p>
      <w:r>
        <w:t>En l’espèce, il est établi que la famille de l'assuré vit en France voisine, dans un logement qui, s’il est certes exigu, l'est en tout cas beaucoup moins que la chambre louée par l'assuré à Meyrin. Il a été constaté que l’assuré se rend très fréquemment en France puisque en l'espace de quelques semaines, l'enquêteur ne l'a jamais trouvé à son domicile annoncé. Le recourant a d’ailleurs reconnu lors de son audition se rendre plusieurs fois par semaine auprès de sa femme et de leurs enfants. Dans de telles circonstances, on doit considérer que le recourant ne réside pas, au degré de la vraisemblance prépondérante, à Genève, à tout le moins qu'il n'y a pas le centre de ses intérêts personnels alors que sa famille vit à quelques kilomètres. La Cour retient donc qu'il est établi, au degré de la vraisemblance prépondérante, que l'assuré ne remplit la condition du domicile en Suisse de l'art. 8 al. 1 LACI, ce qui exclut tout droit à l'indemnité de chômage.</w:t>
      </w:r>
    </w:p>
    <w:p>
      <w:r>
        <w:rPr>
          <w:b/>
        </w:rPr>
        <w:t>E. 8</w:t>
      </w:r>
    </w:p>
    <w:p>
      <w:r>
        <w:t>Certes, l’exigence d'une résidence habituelle en Suisse résulte du droit interne et il convient également de vérifier quelles sont les obligations de la Suisse découlant du droit international. S'agissant d'une relation transfrontalière, en particulier, se pose la question de la législation applicable, notamment de l'Accord du 21 juin 1999 entre la Confédération suisse d'une part, et la Communauté européenne et ses Etats membres, d'autre part, sur la libre circulation des personnes (ALCP; RS 0.142.112.681), entré en vigueur en date du 1er juin 2002, et de ses règlements. L'art 1 ALCP précise que l’objectif de cet accord, en faveur des ressortissants des Etats membres de la Communauté européenne et de la Suisse est notamment de d’accorder les mêmes conditions de vie, d’emploi et de travail que celles accordées aux nationaux.</w:t>
      </w:r>
    </w:p>
    <w:p>
      <w:r>
        <w:t>A/3399/2012 - 7/8 - L’ALCP ne s’applique cependant pas en l’espèce, le recourant n’étant ni suisse ni ressortissant d'un pays signataire de l'ALCP. Dès lors, la question de savoir s’il pourrait, cas échéant, se voir reconnaître le statut de frontalier atypique ne se pose pas, tant il est vrai de l'ALCP ne lui est pas applicable. Eu égard aux considérations qui précèdent, le recours est rejeté.</w:t>
      </w:r>
    </w:p>
    <w:p>
      <w:r>
        <w:t>A/3399/2012 - 8/8 -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