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ATAS/677/2009 vom 28. Mai 2009</w:t>
      </w:r>
    </w:p>
    <w:p>
      <w:r>
        <w:t>GE Cour de justice, 2009-05-28, FR</w:t>
      </w:r>
    </w:p>
    <w:p>
      <w:r>
        <w:rPr>
          <w:b/>
        </w:rPr>
        <w:t xml:space="preserve">Quelle: </w:t>
      </w:r>
      <w:r>
        <w:t>https://mcp.opencaselaw.ch/entscheid/ge_gerichte_ATAS_677_2009</w:t>
      </w:r>
    </w:p>
    <w:p>
      <w:r>
        <w:t>FR: GE_GERICHTE ATAS/677/2009 du 28 mai 2009</w:t>
      </w:r>
    </w:p>
    <w:p>
      <w:r>
        <w:t>IT: GE_GERICHTE ATAS/677/2009 del 28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w:t>
      </w:r>
    </w:p>
    <w:p>
      <w:r>
        <w:t>A/449/2008 - 9/13 -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des prestations de l’assurance-invalidité, singulièrement celle de savoir si les atteintes à sa santé se traduisent par une diminution de sa capacité de travail, à combien s’élève son degré d’invalidité éventuel et si, cas échéant, elle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A/449/2008 - 10/13 -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A/449/2008 - 11/13 -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fait grief à l’intimé de n’avoir pas suffisamment pris en considération ses troubles mictionnels et d’avoir par ailleurs nié l’existence d’une atteinte psychique invalidante en se basant sur le rapport bidisciplinaire du SMR du 12 novembre 2007. Sur le plan somatique, le SMR a retenu l’existences de problèmes lombaires, dont ils ont relevé qu’ils étaient encore accentués par la problématique du genou, et admis à ce titre un nombre important de limitations fonctionnelles. Sur ce point, leurs conclusions ne sont pas contestées. S’agissant plus particulièrement des problèmes urinaires de l’assurée, les médecins du SMR les ont jugés non invalidants. Des explications du Dr T________, il ressort qu’effectivement, l’assurée doit fréquemment vider sa vessie - jusqu’à vingt fois par jour (ce qui correspond à la fréquence d’une à deux fois par heure alléguée par le Dr S________) et cinq fois par nuit. Il conviendra dès lors de retenir au nombre des limitations fonctionnelles, la possibilité de pouvoir se rendre aux toilettes fréquemment. Quant à la fatigabilité accrue alléguée par certains des médecins, elle est difficilement traduisible en termes de diminution de capacité de travail. Sans doute faudra-t-il également éviter les activités impliquant une grande concentration, mais pour le reste, il n’y a pas de motifs suffisants pour s’écarter de l’appréciation du SMR sur le plan somatique. Sur le plan psychique, le SMR a écarté le diagnostic de trouble dépressif récurrent épisode moyen posé par le Dr M________ au motif qu’il n’y avait eu qu’un seul et même épisode, ce qui est corroboré par les documents médicaux versés au dossier. Il a également écarté le diagnostic d’épisode dépressif pour ne retenir qu’une simple dysthymie, au motif que le diagnostic d’épisode dépressif requiert la présence d'au moins deux de trois symptômes typiques, qui n’ont pu être objectivés. Il y a lieu de rappeler,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w:t>
      </w:r>
    </w:p>
    <w:p>
      <w:r>
        <w:t>A/449/2008 - 12/13 - Tel n’est pas le cas en l’espèce. Certes, tant le Dr M________ que le Dr Q________ ont retenu le diagnostic de trouble dépressif récurrent, épisode moyen. Le Dr M________ a cependant admis que l’état de sa patiente avait fluctué dans le temps à tel point que son état s’était parfois amélioré au point que les critères pour conclure à un état dépressif majeur n’étaient plus présents. Il a également évoqué une rechute en août 2006, mais dont on ignore combien de temps elle a duré exactement. Le fait est qu’en novembre 2007, lorsque les médecins du SMR se sont exprimés, il n’était donc pas exclu que l’état de l’assurée se soit à nouveau amélioré. Quant au Dr Q________, s’il a émis l’avis que la capacité de travail de la recourante est entamée en ce sens que sa personnalité provoque des troubles relationnels (des crises de colère peuvent ainsi intervenir à la moindre contrainte) et formulé des doutes quant à la capacité de sa patiente à disposer des ressources lui permettant d’assumer un travail régulier et de répondre aux exigences d'un employeur, même dans une profession qui impliquerait moins de contacts, il n’a toutefois pu conclure catégoriquement à une diminution de la capacité de travail et n’a en tout cas pu évaluer cette dernière. Quant au diagnostic de personnalité borderline, force est de constater qu’il est présent chez la recourante depuis l’adolescence et qu’il ne l’a pas empêchée de travailler par le passé, malgré l’instabilité alléguée. On retiendra donc que, sur le plan somatique, la recourante conserve une capacité de travail entière dans une activité adaptée telle que décrite par ses médecins et le SMR, étant précisé au surplus que cette activité doit lui permettre de s’absenter régulièrement pour se rendre aux toilettes et ne pas requérir une concentration importante. Dans la mesure où l’intimé a procédé à une comparaison des gains en retenant à titre de revenu d’invalide le salaire mensuel brut (valeur centrale) pour des postes de travail qui ne requièrent pas de qualifications professionnelles particulières, on peut admettre, que la plupart de ces emplois sont, abstraction faite des limitations éprouvées par la recourante, conformes aux aptitudes de celle-ci. Au regard du large éventail d'activités simples et répétitives que recouvrent les secteurs de la production et des services, on doit convenir qu'un nombre significatif de ces activités sont légères et répondent à la description donnée supra. Le salaire statistique qui a été pris en considération est donc représentatif de ce que pourrait gagner la recourante, compte tenu d'un marché équilibré du travail (au sens de l'art. 28 al. 2 aLAI ou 16 LPGA), en mettant à profit sa pleine capacité de travail dans une activité adaptée.</w:t>
      </w:r>
    </w:p>
    <w:p>
      <w:r>
        <w:rPr>
          <w:b/>
        </w:rPr>
        <w:t>E. 7</w:t>
      </w:r>
    </w:p>
    <w:p>
      <w:r>
        <w:t>Eu égard aux considérations qui précèdent, le recours est rejeté, étant précisé que si l’état de la recourante devait à nouveau s’aggraver, il lui sera loisible de déposer une nouvelle demande de prestations auprès de l’OCAI.</w:t>
      </w:r>
    </w:p>
    <w:p>
      <w:r>
        <w:t>A/449/2008 - 13/13 - La recourante, qui succombe, plaide au bénéfice de l’assistance juridique. Dans ces circonstances, il est renoncé à la perception d’un émolument pour les frais de justice (art. 6 let. a du règlement sur l’assistance juridique du 13 mars 1996 ;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