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ATAS/676/2019 vom 26. Juli 2019</w:t>
      </w:r>
    </w:p>
    <w:p>
      <w:r>
        <w:t>GE Cour de justice, 2019-07-26, FR</w:t>
      </w:r>
    </w:p>
    <w:p>
      <w:r>
        <w:rPr>
          <w:b/>
        </w:rPr>
        <w:t xml:space="preserve">Quelle: </w:t>
      </w:r>
      <w:r>
        <w:t>https://mcp.opencaselaw.ch/entscheid/ge_gerichte_ATAS_676_2019</w:t>
      </w:r>
    </w:p>
    <w:p>
      <w:r>
        <w:t>FR: GE_GERICHTE ATAS/676/2019 du 26 juillet 2019</w:t>
      </w:r>
    </w:p>
    <w:p>
      <w:r>
        <w:t>IT: GE_GERICHTE ATAS/676/2019 del 26 luglio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A/1110/2017 - 34/56 -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modification du droit à la rente du recourant, à l'issue de l'instruction de la demande de révision, initiée par l'assuré, en mars 2010, en raison de l'aggravation alléguée de son état de santé, tendant, du point de vue de l'intéressé, à l'augmentation de la rente qu'il percevait alors (¾ de rente) à une rente entière, alors que l'OAI a abouti au contraire à une décision inverse (décision du 24 février 2017), réduisant la rente préexistante à une demi-rente d'invalidité, avec effet au premier jour du 2e mois suivant la notification (en l'occurrence dès le 1er avril 2017), étant encore précisé que la décision entreprise a retiré l'effet suspensif du recours.</w:t>
      </w:r>
    </w:p>
    <w:p>
      <w:r>
        <w:rPr>
          <w:b/>
        </w:rPr>
        <w:t>E. 5</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A/1110/2017 - 35/56 -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w:t>
      </w:r>
    </w:p>
    <w:p>
      <w:r>
        <w:t>A/1110/2017 - 36/56 -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w:t>
      </w:r>
    </w:p>
    <w:p>
      <w:r>
        <w:t>A/1110/2017 - 37/56 -</w:t>
      </w:r>
    </w:p>
    <w:p>
      <w:r>
        <w:rPr>
          <w:b/>
        </w:rPr>
        <w:t>E. 9</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w:t>
      </w:r>
    </w:p>
    <w:p>
      <w:r>
        <w:rPr>
          <w:b/>
        </w:rPr>
        <w:t>E. 10</w:t>
      </w:r>
    </w:p>
    <w:p>
      <w:r>
        <w:t>a. À l’ATF 141 V 281 (du 3 juin 2015), le Tribunal fédéral a abandonné la présomption qui prévalait jusqu’à ce jour, selon laquelle les syndromes du type troubles somatoformes douloureux (ci-après : TSD) et affections psychosomatiques assimilées peuvent être surmontés en règle générale par un effort de volonté raisonnablement exigible (ATF 132 V 65; ATF 131 V 49).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w:t>
      </w:r>
    </w:p>
    <w:p>
      <w:r>
        <w:t>A/1110/2017 - 38/56 -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w:t>
      </w:r>
    </w:p>
    <w:p>
      <w:r>
        <w:t>A/1110/2017 - 39/56 -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w:t>
      </w:r>
    </w:p>
    <w:p>
      <w:r>
        <w:t>A/1110/2017 - 40/56 -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11</w:t>
      </w:r>
    </w:p>
    <w:p>
      <w:r>
        <w:t>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w:t>
      </w:r>
    </w:p>
    <w:p>
      <w:r>
        <w:t>A/1110/2017 - 41/56 -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12</w:t>
      </w:r>
    </w:p>
    <w:p>
      <w:r>
        <w:t>Une nouvelle jurisprudence ou un changement de celle-ci s'appliquent immédiatement et vaut pour les cas futurs, ainsi que pour les affaires pendantes devant un tribunal au moment de l'adoption de la nouveauté ou du changement (ex nunc et pro futuro;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A/1110/2017 - 42/56 -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du règlement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L'art. 44 LPGA prévoyant les conditions de mise en œuvre d’une expertise externe indépendante ne s'applique pas aux examens médicaux réalisés par les SMR</w:t>
      </w:r>
    </w:p>
    <w:p>
      <w:r>
        <w:t>A/1110/2017 - 43/56 -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A/1110/2017 - 44/56 -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En l'espèce, on rappellera qu'en raison de problèmes de santé (lombaires chroniques et des deux hanches), le recourant avait formé une première demande de prestations de l'assurance-invalidité, en avril 2002, qui avait abouti à une décision du 26 janvier 2004, lui octroyant une demi-rente d'invalidité, avec effet au 1er janvier 2002, basée sur un taux d'invalidité de 50 %. Par décision du 25 août 2008, sur instruction d'une révision initiée en novembre 2007 en raison de l'aggravation de l'état de santé du recourant, la rente avait été portée à un trois-quarts de rente, basée sur un taux d'invalidité de 60 %, avec effet dès le 1er février 2008. Le présent recours s'inscrit dans le cadre d'une nouvelle demande de révision, initiée en mars 2010, l'état de santé de l'intéressé ayant continué à se dégrader, et tend à l'octroi d'une rente entière, les médecins traitants et spécialistes qui le suivent depuis de nombreuses années ayant déterminé, au mieux, une capacité de travail résiduelle n'excédant pas</w:t>
      </w:r>
    </w:p>
    <w:p>
      <w:r>
        <w:t>A/1110/2017 - 45/56 -</w:t>
      </w:r>
    </w:p>
    <w:p>
      <w:r>
        <w:rPr>
          <w:b/>
        </w:rPr>
        <w:t>E. 20</w:t>
      </w:r>
    </w:p>
    <w:p>
      <w:r>
        <w:t>À défaut d’informations fiables et suffisantes sur les répercussions des diverses atteintes sur la capacité de travail, la chambre de céans n’est pas en mesure de procéder à une comparaison avec la situation prévalant au moment de la décision du 25 août 2008, octroyant un trois-quarts de rente. Partant, elle ne peut se prononcer de manière définitive sur le degré d’invalidité du recourant.</w:t>
      </w:r>
    </w:p>
    <w:p>
      <w:r>
        <w:rPr>
          <w:b/>
        </w:rPr>
        <w:t>E. 21</w:t>
      </w:r>
    </w:p>
    <w:p>
      <w:r>
        <w:t>Évaluer l'exigibilité, en pourcent, d'une activité lucrative adaptée, indiquer depuis quand une telle activité est exigible et quel est le domaine d'activité adapté.</w:t>
      </w:r>
    </w:p>
    <w:p>
      <w:r>
        <w:rPr>
          <w:b/>
        </w:rPr>
        <w:t>E. 22</w:t>
      </w:r>
    </w:p>
    <w:p>
      <w:r>
        <w:t>Dire s'il y a une diminution de rendement et la chiffrer.</w:t>
      </w:r>
    </w:p>
    <w:p>
      <w:r>
        <w:rPr>
          <w:b/>
        </w:rPr>
        <w:t>E. 23</w:t>
      </w:r>
    </w:p>
    <w:p>
      <w:r>
        <w:t>Commenter et discuter les avis médicaux du SMR, des experts s’étant déjà prononcés et des médecins traitants et indiquer - cas échéant - pour quelles raisons ces avis sont confirmés ou écartés.</w:t>
      </w:r>
    </w:p>
    <w:p>
      <w:r>
        <w:rPr>
          <w:b/>
        </w:rPr>
        <w:t>E. 24</w:t>
      </w:r>
    </w:p>
    <w:p>
      <w:r>
        <w:t>Formuler un pronostic global.</w:t>
      </w:r>
    </w:p>
    <w:p>
      <w:r>
        <w:rPr>
          <w:b/>
        </w:rPr>
        <w:t>E. 25</w:t>
      </w:r>
    </w:p>
    <w:p>
      <w:r>
        <w:t>Toute remarque utile et proposition des experts. 5.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 ? e) Quel est le contexte social ? L’assuré peut-il compter sur le soutien de ses proches ? Motiver votre position. f) Pour le cas où il y aurait refus ou mauvaise acceptation d’une thérapie recommandée et accessible : cette attitude doit-elle être attribuée à une incapacité de l’assuré à reconnaître sa maladie ? g) Dans l’ensemble, le comportement de l’assuré vous semble-t-il cohérent ? Pourquoi ? 6. Invite les experts à faire une appréciation consensuelle du cas s’agissant de toutes les problématiques ayant des interférences entre-elles, notamment l’appréciation de la capacité de travail résiduelle. 7. Invite les experts à déposer à leur meilleure convenance un rapport en trois exemplaires à la chambre de céans.</w:t>
      </w:r>
    </w:p>
    <w:p>
      <w:r>
        <w:t>A/1110/2017 - 56/56 - 8. Réserve le fond.</w:t>
      </w:r>
    </w:p>
    <w:p>
      <w:r>
        <w:t>La greffière</w:t>
      </w:r>
    </w:p>
    <w:p>
      <w:r>
        <w:t>Florence SCHMUTZ</w:t>
      </w:r>
    </w:p>
    <w:p>
      <w:r>
        <w:t>Le président</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