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ATAS/675/2017 vom 14. August 2017</w:t>
      </w:r>
    </w:p>
    <w:p>
      <w:r>
        <w:t>GE Cour de justice, 2017-08-14, FR</w:t>
      </w:r>
    </w:p>
    <w:p>
      <w:r>
        <w:rPr>
          <w:b/>
        </w:rPr>
        <w:t xml:space="preserve">Quelle: </w:t>
      </w:r>
      <w:r>
        <w:t>https://mcp.opencaselaw.ch/entscheid/ge_gerichte_ATAS_675_2017</w:t>
      </w:r>
    </w:p>
    <w:p>
      <w:r>
        <w:t>FR: GE_GERICHTE ATAS/675/2017 du 14 août 2017</w:t>
      </w:r>
    </w:p>
    <w:p>
      <w:r>
        <w:t>IT: GE_GERICHTE ATAS/675/2017 del 14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 mai 2016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Interjeté dans les délai et forme légaux, le recours est recevable (art. 56 et 60 LPGA).</w:t>
      </w:r>
    </w:p>
    <w:p>
      <w:r>
        <w:t>A/1865/2016 - 16/26 -</w:t>
      </w:r>
    </w:p>
    <w:p>
      <w:r>
        <w:rPr>
          <w:b/>
        </w:rPr>
        <w:t>E. 4</w:t>
      </w:r>
    </w:p>
    <w:p>
      <w:r>
        <w:t>Le litige porte sur l'évaluation de l'invalidité du recourant et, partant, sur son droit à une rente de l'assurance-invalidité, étant précisé que le recourant ne conteste pas la capacité de travail retenue par l'intimé.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En vertu de l'art. 28 al. 2 LAI, l'assuré a droit à une rente entière s'il est invalide à 70% au moins, à trois quarts de rente s'il est invalide à 60 % au moins, à une demi- rente s'il est invalide à 50 % au moins, ou à un quart de rente s'il est invalide à 40% au moins. Selon les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le principe de la réadaptation prime la rente, le droit à celle-ci ne prend pas naissance tant que l'assuré peut faire valoir son droit à une indemnité journalière (art. 29 al. 2 LAI). Dès lors, un droit à la rente est exclu aussi longtemps que des mesures de réadaptation peuvent influer sur l’invalidité au point de la faire tomber au-dessous du niveau justifiant l’octroi d’une rente (OFAS, Circulaire sur l'assurance-invalidité et l'impotence, CIIAI, ch. 1045).</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w:t>
      </w:r>
    </w:p>
    <w:p>
      <w:r>
        <w:t>A/1865/2016 - 17/26 -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du Tribunal fédéral 9C_236/2009 du 7 octobre 2009 consid. 3 et 4, in SVR 2010 IV n° 11 p. 35). La comparaison des revenus s'effectue, en règle générale, en chiffrant aussi exactement que possible les montants de ces deux revenus et en les confrontant l'un avec l'autre, la différence permettant de calculer le taux d'invalidité. Selon la jurisprudence, chez une personne de condition indépendante,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w:t>
      </w:r>
    </w:p>
    <w:p>
      <w:r>
        <w:t>A/1865/2016 - 18/26 - le principe légal selon lequel l'invalidité, pour cette catégorie d'assurés, doit être déterminée d'après l'incapacité de gain (ATF 128 V 30 consid. 1; ATF 104 V 136 consid. 2; VSI 1998 p. 122 consid. 1a et p. 257 consid. 2b).</w:t>
      </w:r>
    </w:p>
    <w:p>
      <w:r>
        <w:rPr>
          <w:b/>
        </w:rPr>
        <w:t>E. 8</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9C_393/2008 du 27 janvier 2009 consid. 3.3).</w:t>
      </w:r>
    </w:p>
    <w:p>
      <w:r>
        <w:rPr>
          <w:b/>
        </w:rPr>
        <w:t>E. 9</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w:t>
      </w:r>
    </w:p>
    <w:p>
      <w:r>
        <w:t>A/1865/2016 - 19/26 - MEYER, Rechtsprechung des Bundesgerichts zum IVG, 2ème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9C_236/2009 du 7 octobre 2009 consid. 4.3).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 à la ligne «total secteur privé» (ATF 124 V 321 consid. 3b/aa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9C_142/2009 du 20 novembre 2009 consid. 4.1 et les références citées).</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l'occurrence, l'intimé a appliqué la méthode extraordinaire pour déterminer le degré d'invalidité présenté par le recourant, ce que ce dernier conteste en faisant</w:t>
      </w:r>
    </w:p>
    <w:p>
      <w:r>
        <w:t>A/1865/2016 - 20/26 - valoir qu'il n'est pas indépendant étant donné qu'il n'est pas actionnaire majoritaire de la société. b.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ou par une comparaison pondérée des champs d’activité, cf. arrêt du Tribunal fédéral 8C_898/2010 du 13 avril 2011). On considère notamment qu’un assuré employé par une société anonyme revêt un statut d’indépendant s’il dispose d’une influence déterminante sur l’entreprise en sa qualité d’actionnaire unique. Comme, de par cette position, il a en outre une influence déterminante sur la répartition des revenus entre salaire et bénéfice, on ne peut pas se baser seulement sur les extraits du compte individuel pour fixer le taux d’invalidité (arrêt du Tribunal fédéral 8C_346/2012 du 24 août 2012; CIIAI, ch. 3028.1 et 3028.2). Dans un arrêt du 9 mars 2012, le Tribunal fédéral a estimé que la méthode extraordinaire s'appliquait à un assuré, directeur et administrateur unique d'une société anonyme, dont il était actionnaire minoritaire. La méthode ordinaire d'évaluation de l'invalidité (dite de comparaison des revenus) n'était à l'évidence pas appropriée pour appréhender convenablement la situation de l'assuré. Le Tribunal fédéral a rappelé que l'assurance-invalidité a pour but d'atténuer au mieux les effets préjudiciables de l'invalidité sur la capacité de gain de la personne assurée. Elle accorde de ce fait une importance primordiale à la diminution objective de la capacité de gain. Les salaires déclarés auprès de la caisse de compensation par la société anonyme ne pouvaient refléter objectivement et de manière fiable la diminution de la capacité de gain subie par l'assuré (arrêt du Tribunal fédéral 9C_548/2011 consid. 4.3 concernant l'ATAS/558/2011). c. En l'espèce, il n'est pas contesté que le recourant dirige l'entreprise qu'il a fondée avec son associé et dont il est actionnaire à 50%. Il ressort en outre du dossier que depuis 2008, le recourant est le seul à disposer de la signature individuelle, qu'il est l'unique administrateur de la société et président du conseil d'administration. Par ailleurs, il résulte de l'extrait du CI, qu'avant de subir son accident en 2012, le recourant n'a pas perçu un salaire fixe. Sa rétribution a en effet varié selon les</w:t>
      </w:r>
    </w:p>
    <w:p>
      <w:r>
        <w:t>A/1865/2016 - 21/26 - années, tout comme l'aurait fait celle d'un indépendant. En outre, le recourant a, à plusieurs reprises, expliqué que la société connaissait depuis plusieurs années des difficultés financières en raison d'éléments indépendants de son atteinte à la santé, tels que la baisse du prix du pétrole ou l'abandon du taux plancher EUR/CHF, et que plusieurs employés avaient dû être licenciés. On ne peut donc exclure l'influence sur le revenu du recourant de facteurs extérieurs conjoncturels. Par ailleurs, les conditions développées par la jurisprudence pour retenir à titre de revenu d'invalide, le revenu effectivement réalisé par le recourant ne sont pas remplies: il apparaît en effet que le salaire que le recourant obtient depuis 2015 (CHF 74'280.-) correspond à un taux d'occupation de 30% (courrier du recourant du 29 mai 2015, pièce 84 page 1 chargé intimé), soit une capacité de travail bien inférieure à celle retenue par les médecins dans une activité adaptée (100%) et que le recourant ne conteste pas. Qui plus est, dans la mesure où le recourant explique dans son recours qu'il a repris les activités résiduelles de dessin, les autres tâches confiées au responsable/dessinateur technique (excepté le montage sur le terrain) ainsi que la fonction commerciale de l'administratrice des ventes, il apparaît peu vraisemblable qu'il continue à percevoir encore ce salaire. Enfin, l'ATAS/122/2016, auquel se réfère le recourant, n'a pas la portée qu'il lui donne, puisqu'il y est uniquement mentionné que la situation du propriétaire d'une société anonyme unipersonnelle est assimilable au statut d'indépendant. Ainsi, dans la mesure où les revenus du recourant ne peuvent pas être déterminés de manière sûre, c'est à juste titre que l'intimé a recouru à la méthode extraordinaire d'évaluation de l'invalidité.</w:t>
      </w:r>
    </w:p>
    <w:p>
      <w:r>
        <w:rPr>
          <w:b/>
        </w:rPr>
        <w:t>E. 12</w:t>
      </w:r>
    </w:p>
    <w:p>
      <w:r>
        <w:t>S'agissant du degré d'invalidité, l'intimé est d'avis, en se fondant sur le rapport d'enquête économique du 30 octobre 2015, que le recourant présente, en raison de ses atteintes à la santé, un degré d'invalidité de 2%, ce que le recourant conteste. En l'occurrence, il n'est pas contesté que le recourant a une incapacité de travail totale dans son activité habituelle de monteur de machines dès février 2012, mais une capacité de travail totale dans une activité adaptée dès mai 2013 (évitant la mobilisation de l'épaule droite, les efforts physiques avec l'épaule droite et le port de charges lourdes). Par ailleurs, il résulte des pièces versées au dossier que l'intimé a réalisé une enquête économique, dont le rapport, daté du 30 octobre 2015, tient compte notamment des conclusions des médecins ainsi que des déclarations du recourant entendu en présence de son conseil le 28 septembre 2015, concernant les différentes tâches qu'il était en mesure de réaliser. Le rapport détaille notamment la situation de l'entreprise, la situation du marché, les horaires de l'entreprise et ceux du recourant avant son accident et les modifications des activités du recourant suite à son atteinte à la santé. L'enquêtrice a en outre examiné la situation du personnel et analysé les comptes d'exploitation de l'entreprise. Le rapport d'enquête économique, complet et détaillé, est convaincant dans la mesure où il respecte les principes relatifs à l'évaluation de l'invalidité selon la méthode extraordinaire et où il ne présente pas d'erreurs manifestes. Par ailleurs, étant donné que l'enquêtrice avait à</w:t>
      </w:r>
    </w:p>
    <w:p>
      <w:r>
        <w:t>A/1865/2016 - 22/26 - sa disposition tous les documents nécessaires et qu'elle a entendu le recourant, qui plus est, en présence de son conseil, la chambre de céans ne saurait lui reprocher, comme le fait le recourant, de ne pas s'être rendue dans l'entreprise de ce dernier. On relèvera en outre que l'enquêtrice est à même d'apprécier si les circonstances rendent indispensable une enquête sur place. Enfin, on ajoutera que l'audition des employés et de l'organe de révision de la société n'est pas pertinente dans le cadre de l'application de la méthode extraordinaire d'évaluation de l'invalidité. S'agissant de la détermination des revenus sans et avec invalidité, la chambre de céans relèvera que si l'intimé aurait dû se référer aux ESS 2014 (année au cours de laquelle les mesures de réadaptation ont pris fin et où le droit éventuel à une rente pouvait naître) en lieu et place des ESS 2012, il n'en demeure pas moins que ce seul élément n'aurait pas modifié de manière substantielle le degré d'invalidité obtenu. Par ailleurs, la prise en compte des niveaux de compétences 4 pour les activités direction/administration, montage, ventes et déplacements, et 2 pour celles de développements de projets et dessins, ne prête pas le flanc à la critique. Au demeurant, le recourant ne les conteste pas. S'agissant des pourcentages retenus à titre de pondération des champs d'activités sans handicap, le recourant se limite à indiquer qu'ils sont totalement erronés et qu'ils ont été fixés aléatoirement. Ainsi, le recourant ne cherche nullement à démontrer, par une argumentation précise et étayée, en quoi ces pourcentages seraient inexacts. Au demeurant, il apparaît que les pourcentages retenus par l'intimé pour le montage, l'administration, la vente et l'informatique paraissent conformes aux indications fournies par la société le 30 avril 2013 (pièce 14 chargé intimé). S'agissant des pourcentages retenus à titre de pondération des champs d'activités avec handicap, le recourant fait valoir que l'intimé aurait constaté de manière erronée les faits pertinents dans la mesure où les tâches de dessin seraient quasi inexistantes, qu'il ne peut pas s'attribuer le poste de marketing/vente puisqu'il n'a pas une formation commerciale et enfin, qu'il ne peut pas réaliser le dossier de montage des machines, l'offre pour les révisions, l'étude des nouveaux systèmes ARS et ARS+ et la préparation des listes des pièces de rechange car l'intégralité de ces tâches nécessite d'intervenir sur les machines, ce qu'il ne peut plus faire. Le recourant fait également valoir que le cours de comptabilité ne lui permet que de se charger de la saisie et qu'en s'attribuant une partie des activités de ses employés, ceux-ci risqueraient de démissionner. On relèvera déjà qu'à l'instar d'un rapport d'enquête sur le ménage pour les personnes accomplissant des travaux ménagers (cf. ATF 128 V 93; arrêt du Tribunal fédéral des assurances I 90/02 du 30 décembre 2002 consid. 2.3.2, non publié in ATF 129 V 67, mais in VSI 2003 p. 218), le rapport d'enquête économique constitue en principe un moyen de preuve approprié pour évaluer le degré d'invalidité des personnes dont on ne peut déterminer sûrement les revenus. Un tel document ne peut donc être contesté sur la base de simples allégations</w:t>
      </w:r>
    </w:p>
    <w:p>
      <w:r>
        <w:t>A/1865/2016 - 23/26 - puisqu'il est lui-même le résultat de l'appréciation de plusieurs éléments qui ne peuvent être infirmés que par des éléments objectifs (arrêt du Tribunal fédéral 9C_622/2015 du 9 mars 2016 consid. 6). La chambre de céans ajoutera qu'afin de permettre au recourant de se réorienter au sein de sa propre entreprise, l'intimé l'a mis au bénéfice d'une formation d'aide-comptable, dont le recourant a réussi avec succès l'examen (118 points sur 127). Suite à l'obtention de son certificat en décembre 2013, le recourant, à sa demande, a également bénéficié d'un coaching individuel au sein de son entreprise afin de lui permettre de développer son autonomie dans les activités comptables. Par ailleurs, le recourant, également à sa demande, a bénéficié de cours de dessin technique afin de pouvoir travailler comme dessinateur au sein de son entreprise. Ainsi, à compter de novembre 2014, une fois les formations précitées finalisées, le recourant aurait pu se charger d'une grande partie des tâches revenant à la comptable et celles liées au dessin. Contrairement à ce que fait valoir le recourant, on ne saurait retenir qu'en l'absence du brevet fédéral de spécialiste en finance et comptabilité, les cours de comptabilité ne lui permettaient pas d'effectuer une partie des tâches réalisées par la comptable. En effet, le brevet précité n'était pas une exigence, puisque comme l'a déclaré le recourant, la comptable qui travaillait dans l'entreprise n'en disposait pas (procès- verbal de comparution personnelle des parties du 17 octobre 2016, p. 2). Par ailleurs, si, selon les allégués du recourant, l'activité de dessin technique n'existait quasiment plus en 2016, il n'en demeure pas moins qu'à compter de 2014, soit lorsque l'entreprise ne comptait plus de dessinateur certifié, le recourant aurait pu se charger des activités en lien avec le dessin, au lieu de transférer ces tâches à un employé polyvalent (rapport d'enquête du 30 octobre 2015, p. 8). En outre, à la lecture des cahiers des charges transmis par le recourant à l'intimé concernant les postes de marketing-vente, de monteur-technicien/bureau technique et du service après-vente (pièces 97.6 à 97.8 chargé intimé), la chambre de céans constate qu'un grand nombre des tâches exercées par les personnes en charge de ces postes sont légères et pleinement adaptées aux limitations fonctionnelles du recourant. On ne saurait suivre l'argument du recourant selon lequel il ne pourrait être exigé de lui qu'il récupère des tâches supplémentaires confiées à ses employés, au motif que ceux-ci pourraient démissionner. On rappellera que la réadaptation par soi-même est un aspect de l'obligation de diminuer le dommage qui prime le droit à une rente. On doit pouvoir exiger de celui qui requiert des prestations qu'il prenne toutes les mesures qu'un homme raisonnable prendrait dans la même situation s'il ne pouvait attendre aucune indemnisation de tiers (ATF 113 V 22 consid. 4d). Ainsi, s'il existe effectivement un risque que des employés quittent une entreprise suite à la réorganisation de l'emploi du temps mise en œuvre par un assuré de condition indépendante, ce risque ne saurait toutefois être invoqué pour contourner l'obligation de diminuer le dommage. Enfin, l'argument du recourant, selon lequel n'étant pas actionnaire majoritaire, il ne pourrait pas décider de la réorganisation de son emploi du temps en fonction de ses aptitudes résiduelles, n'apparaît pas vraisemblable, dans la mesure où il n'en a jamais fait état lors de la mise en œuvre</w:t>
      </w:r>
    </w:p>
    <w:p>
      <w:r>
        <w:t>A/1865/2016 - 24/26 - des mesures de reclassement. D'ailleurs, le recourant a même expliqué qu'il voulait tout faire pour maintenir la société, en se diversifiant (rapport du 26 juin 2013). Enfin, s'il apparaît certes qu'au moment où l'intimé a rendu sa décision (le 2 mai 2016), seules quatre personnes étaient encore employées de l'entreprise, il n'en demeure pas moins qu'en 2014, elle en comptait douze, et en 2015, sept (y compris le recourant). Il appartenait donc à ce dernier, dans le cadre de son obligation de réduire le dommage, de réorganiser ses activités en fonction de ses aptitudes résiduelles dès 2014, alors qu'il avait fini son reclassement et que son entreprise comptait plus d'employés. Quoi qu'il en soit, la chambre de céans relèvera que même en retenant, d'une part, que le dessin technique et le développement de projets n'existaient quasiment plus au moment où l'intimé a rendu sa décision litigieuse, et d'autre part, que les pondérations après adaptation au handicap sont celles que le recourant a admises en 2014 (pièce 69 page 2, chargé intimé), à savoir 20% pour l'administration/comptabilité et 40% pour la vente, il en résulterait un degré d'invalidité de 35% (94'215 – 61'322 / 94'215 x 100), lequel serait insuffisant pour ouvrir le droit à une rente d'invalidité:</w:t>
      </w:r>
    </w:p>
    <w:p>
      <w:r>
        <w:t>Champ d'activités Pondération sans handicap Pondération après adaptation au handicap Incapacité de travail dans le champ d'activité Revenu annuel hypothétique sans handicap Revenu annuel hypothétique avec handicap Direction/administrati onA) 20% 20% 0% 20'196.-1) 20'196.- Montage 45% 0% 100% 45'505.-2) 0.- Ventes et déplacements 10% 40% 0% 10'281.-3) 41'126.- Développement de projets 10% 0% 0% 7'293.-4) 0.- Dessins 15% 0% 0% 10'940.-5) 0.- Total 100% 60%</w:t>
      </w:r>
    </w:p>
    <w:p>
      <w:r>
        <w:t>94'215.- 61'322.-</w:t>
      </w:r>
    </w:p>
    <w:p>
      <w:r>
        <w:t>A) Gestion / organisation / acquisition / personnel / offres / commandes / facturation / paiements / relations publiques / informatique (transferts, gestion des stocks et des réseaux) Selon Enquête suisse sur la structure des salaires 2014 TA1 – Tirage Skill Level - Privé 1) domaine 22-23 Industries du plastique – niveau 4 direction – hommes 2) domaine 31-33 Installation de machines – niveau 4 direction – hommes</w:t>
      </w:r>
    </w:p>
    <w:p>
      <w:r>
        <w:t>A/1865/2016 - 25/26 - 3) domaine 45-46 Commerce de gros – niveau 4 direction – hommes 4) domaine 69-71 – Ingénierie – niveau 2 CFC – hommes 5) domaine 69-71 – Ingénierie – niveau 2 CFC - hommes C'est par conséquent à juste titre que l'intimé a nié le droit du recourant à une rente d'invalidité.</w:t>
      </w:r>
    </w:p>
    <w:p>
      <w:r>
        <w:rPr>
          <w:b/>
        </w:rPr>
        <w:t>E. 13</w:t>
      </w:r>
    </w:p>
    <w:p>
      <w:r>
        <w:t>Eu égard à ce qui précède, le recours doit être rejeté.</w:t>
      </w:r>
    </w:p>
    <w:p>
      <w:r>
        <w:rPr>
          <w:b/>
        </w:rPr>
        <w:t>E. 14</w:t>
      </w:r>
    </w:p>
    <w:p>
      <w:r>
        <w:t>Le recourant, qui succombe, n’a pas droit à des dépens (art. 61 let. g LPGA). La procédure en matière d’assurance-invalidité n'étant pas gratuite (art. 69 al. 1bis LAI), le recourant sera condamné au paiement d'un émolument de CHF 200.-.</w:t>
      </w:r>
    </w:p>
    <w:p>
      <w:r>
        <w:t>A/1865/2016 - 26/26 -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