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ATAS/675/2016 vom 24. August 2016</w:t>
      </w:r>
    </w:p>
    <w:p>
      <w:r>
        <w:t>GE Cour de justice, 2016-08-24, FR</w:t>
      </w:r>
    </w:p>
    <w:p>
      <w:r>
        <w:rPr>
          <w:b/>
        </w:rPr>
        <w:t xml:space="preserve">Quelle: </w:t>
      </w:r>
      <w:r>
        <w:t>https://mcp.opencaselaw.ch/entscheid/ge_gerichte_ATAS_675_2016</w:t>
      </w:r>
    </w:p>
    <w:p>
      <w:r>
        <w:t>FR: GE_GERICHTE ATAS/675/2016 du 24 août 2016</w:t>
      </w:r>
    </w:p>
    <w:p>
      <w:r>
        <w:t>IT: GE_GERICHTE ATAS/675/2016 del 24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LPA-GE - E 5 10).</w:t>
      </w:r>
    </w:p>
    <w:p>
      <w:r>
        <w:rPr>
          <w:b/>
        </w:rPr>
        <w:t>E. 3</w:t>
      </w:r>
    </w:p>
    <w:p>
      <w:r>
        <w:t>Le litige porte sur la question de savoir si l’intimé était fondé de refuser d’entrer en matière sur la nouvelle demande de prestations déposée par le recourant.</w:t>
      </w:r>
    </w:p>
    <w:p>
      <w:r>
        <w:rPr>
          <w:b/>
        </w:rPr>
        <w:t>E. 4</w:t>
      </w:r>
    </w:p>
    <w:p>
      <w:r>
        <w:t>a) A teneur de l’art. 87 al. 2 et 3 du règlement sur l’assurance-invalidité du 17 janvier 1961, en sa teneur en vigueur depuis le 1er janvier 2012 (RAI, RS 831.201),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w:t>
      </w:r>
    </w:p>
    <w:p>
      <w:r>
        <w:t>A/1814/2016 - 5/8 - arguments, sans alléguer une modification des faits déterminants (ATF 130 V 64 consid. 5.2.3 p. 68,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c) Les normes réglementaires et les principes jurisprudentiels sur les modalités de l'examen d'une nouvelle demande après que des prestations ont été refusées par une décision entrée en force ne concernent toutefois, selon leur sens et but exposés ci- avant (consid. 1.2 supra), que des demandes de prestations portant sur un objet identique. En revanche, l'assuré ne peut se voir opposer l'entrée en force d'un refus</w:t>
      </w:r>
    </w:p>
    <w:p>
      <w:r>
        <w:t>A/1814/2016 - 6/8 -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5</w:t>
      </w:r>
    </w:p>
    <w:p>
      <w:r>
        <w:t>En l’espèce, la première décision rendue par l’intimé en date du 6 octobre 2014 refusait l’octroi d’une rente d’invalidité et de mesures professionnelles. À l’appui de sa nouvelle demande de mesures professionnelles/rente du</w:t>
      </w:r>
    </w:p>
    <w:p>
      <w:r>
        <w:rPr>
          <w:b/>
        </w:rPr>
        <w:t>E. 10</w:t>
      </w:r>
    </w:p>
    <w:p>
      <w:r>
        <w:t>décembre 2015, le recourant n’a produit aucun document médical. Il n’a pas donné suite au courrier de l’intimé du 18 décembre 2015 l’invitant à produire dans les trente jours tous documents médicaux permettant de rendre plausible l’aggravation de son état de santé, ni à la sommation du 22 février 2016 lui impartissant un délai au 4 mars 2016 au plus tard, et ce malgré l’avertissement qu’en l’absence de réponse de sa part, l’intimé prendra sa décision sur la base du dossier en sa possession et que les prestations pourraient lui être refusées. Le recourant n’a pas non plus réagi au projet de décision de refus d’entrer en matière du 8 mars 2016, alors que la décision querellée a été notifiée presque deux mois plus tard. L’argument du recourant selon lequel il pensait que l’intimé recueillerait tous les renseignements médicaux nécessaires auprès de son médecin traitant tombe ainsi à faux. Quant au rapport du Dr B______ du 28 juin 2016, produit dans le cadre de la présente procédure, il fait état, certes, d’un choc hémorragique survenu le 9 octobre 2015 compliqué d’un accident vasculaire cérébral ayant nécessité une hospitalisation jusqu’au 13 novembre 2015. Le recourant présenterait une baisse de ses capacités, mais le médecin n’atteste cependant pas une incapacité d’agir. Il y a lieu par ailleurs de constater que le recourant a pu remplir et signer sa demande de prestations le 15 décembre 2015 et mandater un conseil le 31 mai 2016. Au vu de ce qui précède, il apparaît que le recourant aurait pu à tout le moins chercher de l’aide auprès de son médecin, voire de mandater un conseil, au plus tard dès la réception de la sommation notifiée par pli recommandé du 22 février 2016. Pour le surplus, dès lors que l’intimé a respecté la procédure et imparti à deux reprises un délai raisonnable au recourant pour déposer ses moyens de preuve, assorti de l’avertissement des conséquences d’un défaut de réponse, le juge des assurances sociales doit examiner la situation d'après l'état de fait tel qu'il se présentait au moment où l'administration a statué. Par conséquent, en l’absence de tout document médical, l’intimé était fondé à refuser d’entrer en matière.</w:t>
      </w:r>
    </w:p>
    <w:p>
      <w:r>
        <w:t>A/1814/2016 - 7/8 - 6. Mal fondé, le recours doit être rejeté. 7. La procédure est gratuite. * * * * *</w:t>
      </w:r>
    </w:p>
    <w:p>
      <w:r>
        <w:t>A/1814/2016 - 8/8 -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