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ATAS/674/2017 vom 14. August 2017</w:t>
      </w:r>
    </w:p>
    <w:p>
      <w:r>
        <w:t>GE Cour de justice, 2017-08-14, FR</w:t>
      </w:r>
    </w:p>
    <w:p>
      <w:r>
        <w:rPr>
          <w:b/>
        </w:rPr>
        <w:t xml:space="preserve">Quelle: </w:t>
      </w:r>
      <w:r>
        <w:t>https://mcp.opencaselaw.ch/entscheid/ge_gerichte_ATAS_674_2017</w:t>
      </w:r>
    </w:p>
    <w:p>
      <w:r>
        <w:t>FR: GE_GERICHTE ATAS/674/2017 du 14 août 2017</w:t>
      </w:r>
    </w:p>
    <w:p>
      <w:r>
        <w:t>IT: GE_GERICHTE ATAS/674/2017 del 14 agosto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Les dispositions de la LPGA s'appliquent à l'assurance-chômage obligatoire et à l'indemnité en cas d'insolvabilité, à moins que la LACI n’y déroge expressément (art. 1 al. 1 LACI).</w:t>
      </w:r>
    </w:p>
    <w:p>
      <w:r>
        <w:rPr>
          <w:b/>
        </w:rPr>
        <w:t>E. 3</w:t>
      </w:r>
    </w:p>
    <w:p>
      <w:r>
        <w:t>Interjeté dans les forme et délai prescrits par la loi, le recours est recevable (art. 56 et 60 LPGA).</w:t>
      </w:r>
    </w:p>
    <w:p>
      <w:r>
        <w:rPr>
          <w:b/>
        </w:rPr>
        <w:t>E. 4</w:t>
      </w:r>
    </w:p>
    <w:p>
      <w:r>
        <w:t>Le litige porte sur la question de savoir si l’intimé était fondé à prononcer une suspension du droit à l’indemnité de chômage du recourant pour une durée de 31 jours pour avoir refusé un travail convenable.</w:t>
      </w:r>
    </w:p>
    <w:p>
      <w:r>
        <w:rPr>
          <w:b/>
        </w:rPr>
        <w:t>E. 5</w:t>
      </w:r>
    </w:p>
    <w:p>
      <w:r>
        <w:t>a. En règle générale, l’assuré doit accepter immédiatement tout travail en vue de diminuer le dommage (art. 16 al. 1 LACI). Le législateur a fixé le principe selon lequel tout travail est réputé convenable; il a exhaustivement énuméré les exceptions (art. 16 al. 2 let. a à i LACI). Il s’ensuit qu'un travail est réputé convenable si toutes les conditions énoncées à l'art. 16 al. 2 let. a à i sont exclues cumulativement (ATF 124 V 62 consid. 3b). N'est ainsi pas réputé convenable et, par conséquent, est exclu de l'obligation d'être accepté,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exige du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du gain assuré, sauf si l'assuré touche des indemnités</w:t>
      </w:r>
    </w:p>
    <w:p>
      <w:r>
        <w:t>A/3205/2016 - 7/13 - compensatoires conformément à l'art. 24 (gain intermédiaire); l'office régional de placement peut exceptionnellement, avec l'approbation de la commission tripartite, déclarer convenable un travail dont la rémunération est inférieure à 70 % du gain assuré (let. i). b. Le droit à l'indemnité de chômage a pour corollaire un certain nombre de devoirs qui découlent de l'obligation générale des assurés de réduire le dommage (ATF 123 V 88 consid. 4c et les références; DTA 2006 no 12 p. 148 consid. 2 [arrêt du Tribunal fédéral des assurances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précisément ce risque, l'art. 30 al. 1 let. d LACI sanctionne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DTA 2006 no 12 p. 148 consid. 2 et les références; Thomas NUSSBAUMER, Arbeitslosenversicherung, in: Schweizerisches Bundes- verwaltungsrecht [SVBR], Soziale Sicherheit, 3ème éd. 2016 n. 847 ss, plus spécialement n. 850; Boris RUBIN, Assurance-chômage, Droit fédéral, Survol des mesures cantonales, Procédure, 2ème édition, 2006, n. 5.8.7, p. 396 ss, plus spécialement n. 5.8.7.4, p. 401 ss). L'obligation d'accepter un emploi convenable assigné par l'office compétent constitue une obligation fondamentale pour qui demande l'indemnité de chômage (art. 17 al. 3, 1ère phrase LACI). Son inobservation est considérée comme une faute grave à moins que l'assuré ne puisse se prévaloir de circonstances laissant apparaître la faute comme étant de gravité moyenne ou légère (art. 30 al. 1 let. d 1ère partie de la phrase LACI en liaison avec l’art. 45 al. 3 de l'ordonnance sur l'assurance-chômage obligatoire et l'indemnité en cas d'insolvabilité du 31 août 1983 (ordonnance sur l’assurance-chômage, OACI - RS 837.02) ; ATF 130 V 125 et arrêt du Tribunal fédéral des assurances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et les références). Le fait de ne pas manifester sans réserve sa disponibilité à accepter un emploi, en exigeant par exemple un salaire trop élevé ou un emploi temporaire, est assimilé au refus d'un travail convenable (arrêts du Tribunal fédéral des assurances C 17/07 du 22 février 2007 consid. 2 et 3 et C 272/05 du 13 décembre 2005 consid. 2 et 3). Le refus d’un emploi convenable comprend en définitive toutes les possibilités manquées de</w:t>
      </w:r>
    </w:p>
    <w:p>
      <w:r>
        <w:t>A/3205/2016 - 8/13 - conclure un contrat en raison d’un comportement inadéquat de l’assuré (RUBIN, op. cit., p. 406). Le seul fait qu'un emploi assigné (ou un poste proposé en remplacement) ne correspond pas aux qualifications et aux voeux professionnels d'un assuré n'autorise pas encore celui-ci à refuser ou à faire échouer cette occasion de travail. Renoncer à un tel poste de transition, que l'assuré pourrait changer en temps opportun contre un autre convenant mieux, n'est pas un motif propre à justifier la suppression d'une sanction (DTA 1977 no 31 p. 153; RUBIN, op. cit., p. 407). Il appartient ainsi à l’assuré de faire tout son possible pour sortir de l’assurance-chômage, y compris accepter de commencer l’emploi, quitte à tenter de négocier par la suite (ATAS/301/2014 consid. 8).</w:t>
      </w:r>
    </w:p>
    <w:p>
      <w:r>
        <w:rPr>
          <w:b/>
        </w:rPr>
        <w:t>E. 6</w:t>
      </w:r>
    </w:p>
    <w:p>
      <w:r>
        <w:t>a. Le respect des usages professionnels et locaux au sens de l’art. 16 al. 2 let. a LACI comprend le respect du droit public et privé du travail (FF 1980 III p. 571 ; Boris RUBIN, Commentaire de la loi sur l’assurance-chômage, 2014, n. 19 ad art. 16). On part du principe qu'il est usuel qu'un rapport de travail respecte le droit du travail. Il s'agit de prévenir le dumping salarial et social qui pourrait être pratiqué au détriment des chômeurs et qui pourrait ainsi se répercuter sur l'ensemble des travailleurs. C'est toujours en fonction d'un poste précis qu'il y a lieu de déterminer si les critères d'un travail convenable sont réunis (RUBIN, op. cit., n. 16 et 20 ad art. 16). b. Les travailleurs sont entendus lors de la planification et de la modification des horaires de travail en vigueur dans l'entreprise, tels qu'horaires usuels, services de piquet, plans d'interventions et horaires bénéficiant d'un permis. Les dates d'introduction des horaires de travail en vigueur sont communiquées aux travailleurs suffisamment tôt, en règle générale deux semaines au plus tard avant une intervention prévue sur la base de nouveaux horaires (art. 69 al. 1 OLT1). c. Les heures supplémentaires sont des heures de travail faites en plus de la durée moyenne de la semaine de travail convenue. Ces dernières doivent être compensées, dans un délai convenable, par du temps libre de même durée ou rémunérées (art. 15 al. 4 CCNT).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loi fédérale du 30 mars 1911, complétant le Code civil suisse (CO, Code des obligations - RS 220)]. d. Selon l'art. 15 LTr, le travail sera interrompu par des pauses d'au moins un quart d'heure, si la journée de travail dure plus de cinq heures et demie (let. a), une demi- heure, si la journée de travail dure plus de sept heures (let. b). Selon l'art. 18 OLT 1, les pauses interrompent le travail en son milieu. Une tranche de travail excédant 5 heures et demie avant ou après une pause donne droit à une pause supplémentaire, conformément à l'art. 15 de la loi.</w:t>
      </w:r>
    </w:p>
    <w:p>
      <w:r>
        <w:t>A/3205/2016 - 9/13 -</w:t>
      </w:r>
    </w:p>
    <w:p>
      <w:r>
        <w:rPr>
          <w:b/>
        </w:rPr>
        <w:t>E. 7</w:t>
      </w:r>
    </w:p>
    <w:p>
      <w:r>
        <w:t>Dans le domaine des assurances sociales,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 qui lui paraissent les plus probables (ATF 126 V 353 consid. 5b, ATF 125 V 193 consid. 2 et les références; cf. ATF 130 III 321 consid. 3.2 et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Au regard de ce qui précède, le recours doit être rejeté.</w:t>
      </w:r>
    </w:p>
    <w:p>
      <w:r>
        <w:rPr>
          <w:b/>
        </w:rPr>
        <w:t>E. 11</w:t>
      </w:r>
    </w:p>
    <w:p>
      <w:r>
        <w:t>Pour le surplus, la procédure est gratuite (art. 61 let. a LPGA).</w:t>
      </w:r>
    </w:p>
    <w:p>
      <w:r>
        <w:t>A/3205/2016 - 13/13 -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