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ATAS/674/2013 vom 20. Juni 2013</w:t>
      </w:r>
    </w:p>
    <w:p>
      <w:r>
        <w:t>GE Cour de justice, 2013-06-20, FR</w:t>
      </w:r>
    </w:p>
    <w:p>
      <w:r>
        <w:rPr>
          <w:b/>
        </w:rPr>
        <w:t xml:space="preserve">Quelle: </w:t>
      </w:r>
      <w:r>
        <w:t>https://mcp.opencaselaw.ch/entscheid/ge_gerichte_ATAS_674_2013</w:t>
      </w:r>
    </w:p>
    <w:p>
      <w:r>
        <w:t>FR: GE_GERICHTE ATAS/674/2013 du 20 juin 2013</w:t>
      </w:r>
    </w:p>
    <w:p>
      <w:r>
        <w:t>IT: GE_GERICHTE ATAS/674/2013 del 20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 recours interjeté respectant les forme et délai prévus par la loi (art. 56 à 60 LPGA), il y a lieu de le déclarer recevable.</w:t>
      </w:r>
    </w:p>
    <w:p>
      <w:r>
        <w:rPr>
          <w:b/>
        </w:rPr>
        <w:t>E. 3</w:t>
      </w:r>
    </w:p>
    <w:p>
      <w:r>
        <w:t>Le litige porte sur la question de savoir si l'état de santé de l'assuré s'est aggravé depuis le 15 décembre 2003 – date de la précédente décision de refus de prestations - au point de lui ouvrir droit aux prestations de l’assurance-invalidité.</w:t>
      </w:r>
    </w:p>
    <w:p>
      <w:r>
        <w:rPr>
          <w:b/>
        </w:rPr>
        <w:t>E. 4</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w:t>
      </w:r>
    </w:p>
    <w:p>
      <w:r>
        <w:t>A/1977/2012 - 8/14 -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A/1977/2012 - 9/14 -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A/1977/2012 - 10/14 -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A/1977/2012 - 11/14 -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il convient d’abord de se référer à la situation telle qu’elle se présentait au moment de la première décision de refus de l’intimé. A l’époque, il avait été établi que l’assuré souffrait de lombosciatalgie et de cervicalgies chroniques. Une importante discordance entre les plaintes et la situation clinique avait déjà été soulignée. En l’absence de pathologie vertébrale majeure, l’assuré avait été considéré comme apte à exercer à plein temps une activité adaptée à ses limitations A l’appui de sa nouvelle demande, le recourant a invoqué une aggravation des cervicalgies ainsi qu’une tendinopathie des épaules, avec une déchirure de la coiffe à droite. Son médecin traitant a préconisé d’éviter toute activité ne respectant pas les limitations énoncées, dont on remarquera qu’elles coïncident avec celles admises par l’expert H__________ et par le médecin du SMR. est admis que, depuis lors, la situation de l’assuré s’est péjorée sur le plan physique puisqu’il souffre à présent aussi des membres supérieurs (Les limitations fonctionnelles et la capacité de travail dans une activité adaptée retenues par le Dr D__________ en juillet 2009 correspondent à celles retenues par le Dr A__________ dans son rapport du 14 mai 2009. Le rapport du Dr H__________ doit se voir reconnaître pleine valeur probante dans la mesure où il se fonde sur une anamnèse détaillée, un examen clinique du recourant et tient compte des plaintes rapportées par ce dernier. Il a été établi en pleine connaissance du dossier, d'autant plus que l'ensemble des considérations émises par l’expert a été confirmé par les rapports du Dr A__________. C’est également en vain que le recourant soutient que ce rapport n’était plus d’actualité lorsque l’intimé a statué. En effet, les documents médicaux produits par l’intéressé ne révèlent aucune nouvelle atteinte qui serait survenue depuis l’expertise. Ainsi que le fait remarquer à juste titre l’intimé, les paresthésies des doigts et le tunnel carpien ne constituent pas une atteinte à la santé entraînant une incapacité de travail durable et l’examen en otoneurologie s’est révélé normal, voire même amélioré – aux dires du Dr I__________ lui-même – par rapport à celui pratiqué par le Dr H__________. La neuropathie sensitivomotrice myélinique légère du nerf médian droit au tunnel carpien avait déjà été constatée à l'examen en 2010. On peut dès lors en conclure que la situation est inchangée depuis l'examen réalisé en 2010.</w:t>
      </w:r>
    </w:p>
    <w:p>
      <w:r>
        <w:t>A/1977/2012 - 12/14 - Quant à la conclusion du Dr H__________ selon laquelle le rendement serait diminué de 50%, elle n’est motivée que par le long éloignement de l’assuré du marché du travail – facteur non relevant pour l’assurance-invalidité, si ce n’est au niveau de l’application d’une éventuelle réduction du revenu d’invalide. L’expert lui-même a souligné que, du point de vue strictement rhumatologique, la capacité de travail de l’assuré dans une activité adaptée aux limitations retenues était bel et bien de 100%. C’est donc à juste titre que l’intimé a conclu en ce sens.</w:t>
      </w:r>
    </w:p>
    <w:p>
      <w:r>
        <w:rPr>
          <w:b/>
        </w:rPr>
        <w:t>E. 10</w:t>
      </w:r>
    </w:p>
    <w:p>
      <w:r>
        <w:t>Il convient à présent de se prononcer sur le calcul du taux d'invalidité effectué par l'OAI.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w:t>
      </w:r>
    </w:p>
    <w:p>
      <w:r>
        <w:t>A/1977/2012 - 13/14 -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c’est à juste titre que l’intimé s’est référé, s’agissant du revenu avant invalidité, aux salaires statistiques tels qu’ils découlent de l’Enquête suisse sur la structure des salaires éditée par l’Office fédéral de la statistique (ESS), puisque l’assuré n’a pas exercé l’activité adaptée qui avait été reconnue exigible de sa part en 2003. c) De même, pour le revenu d’invalide, en l’absence de reprise d’activité in casu, il convenait de se référer également aux statistiques. Ainsi que cela a été dit supra, l’assuré pourrait exercer à plein temps une activité adaptée. Au regard du large éventail d'activités simples et répétitives offertes par les secteurs de la production et des services, on doit convenir qu'un marché du travail équilibré offre un nombre significatif de postes de travail légers n'exigeant ni port de charges, ni travail en position bras levés et pouvant être occupés sans difficulté particulière par une personne atteinte des affections dont souffre le recourant. On relèvera enfin que la réduction de 10% supplémentaire appliquée par l’intimé au revenu d’invalide apparaît suffisante pour tenir compte de l’âge du recourant et de la durée de son éloignement du marché du travail, étant rappelé que ce dernier n’a plus repris d’activité lucrative alors qu’en 2003, une activité adaptée avait été jugée exigible de sa part. Le calcul du degré d’invalidité opéré par l’intimé n’apparaît donc pas critiquable. Eu égard aux considérations qui précèdent, il y a lieu de confirmer l'absence d'aggravation de l'état de santé de l'assuré susceptible d’influencer son droit aux prestations. Le recours est rejeté.</w:t>
      </w:r>
    </w:p>
    <w:p>
      <w:r>
        <w:t>A/1977/2012 - 14/14 -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