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ATAS/673/2025 vom 9. September 2025</w:t>
      </w:r>
    </w:p>
    <w:p>
      <w:r>
        <w:t>GE Cour de justice, 2025-09-09, FR</w:t>
      </w:r>
    </w:p>
    <w:p>
      <w:r>
        <w:rPr>
          <w:b/>
        </w:rPr>
        <w:t xml:space="preserve">Quelle: </w:t>
      </w:r>
      <w:r>
        <w:t>https://mcp.opencaselaw.ch/entscheid/ge_gerichte_ATAS_673_2025</w:t>
      </w:r>
    </w:p>
    <w:p>
      <w:r>
        <w:t>FR: GE_GERICHTE ATAS/673/2025 du 9 septembre 2025</w:t>
      </w:r>
    </w:p>
    <w:p>
      <w:r>
        <w:t>IT: GE_GERICHTE ATAS/673/2025 del 9 settembre 2025</w:t>
      </w:r>
    </w:p>
    <w:p>
      <w:pPr>
        <w:pStyle w:val="Heading2"/>
      </w:pPr>
      <w:r>
        <w:t>Erwägungen</w:t>
      </w:r>
    </w:p>
    <w:p>
      <w:r>
        <w:rPr>
          <w:b/>
        </w:rPr>
        <w:t>E. 1</w:t>
      </w:r>
    </w:p>
    <w:p>
      <w:r>
        <w:t>La compétence de la chambre de céans et la recevabilité du recours ont déjà été examinées dans l'ordonnance d'expertise. Il suffit d'y renvoyer.</w:t>
      </w:r>
    </w:p>
    <w:p>
      <w:r>
        <w:rPr>
          <w:b/>
        </w:rPr>
        <w:t>E. 2</w:t>
      </w:r>
    </w:p>
    <w:p>
      <w:r>
        <w:t>Le litige porte sur le bien-fondé de la décision du 25 septembre 2023 par laquelle l’intimé a nié le droit de la recourante à une rente d’invalidité suite à sa demande du 25 novembre 2020, étant rappelé que par décision du 30 septembre 2019, entrée en force, une rente entière lui avait été octroyée pour une durée limitée du 1er mai au 30 septembre 2019.</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A/3520/2023 - 12/31 -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(arrêt du Tribunal fédéral 9C _499/2022 du 29 juin 2023 consid. 4.1).</w:t>
      </w:r>
    </w:p>
    <w:p>
      <w:r>
        <w:rPr>
          <w:b/>
        </w:rPr>
        <w:t>E. 3.1</w:t>
      </w:r>
    </w:p>
    <w:p>
      <w:r>
        <w:t>Le 1er janvier 2022, les modifications de la LAI du 19 juin 2020 (développement continu de l’AI ; RO 2021 705) ainsi que celles du</w:t>
      </w:r>
    </w:p>
    <w:p>
      <w:r>
        <w:rPr>
          <w:b/>
        </w:rPr>
        <w:t>E. 3.2</w:t>
      </w:r>
    </w:p>
    <w:p>
      <w:r>
        <w:t>En l’occurrence, la décision querellée a certes été rendue postérieurement au 1er janvier 2022. Toutefois, la demande de prestations ayant été déposée en novembre 2020 et le délai d’attente d’une année venant à échéance en octobre 2021, un éventuel droit à une rente d’invalidité naîtrait antérieurement au 1er janvier 2022 (cf. art. 28 al. 1 let. b et 29 al. 1 LAI), de sorte que les dispositions applicables seront citées dans leur teneur en vigueur jusqu’au 31 décembre 2021. En outre, dans la mesure où la recourante avait, au 1er janvier 2022, 30 ans révolus mais moins de 55 ans, la quotité éventuelle de sa rente subsisterait tant que son taux d’invalidité ne subit pas de modification au sens de l’art. 17 al. 1 LPGA.</w:t>
      </w:r>
    </w:p>
    <w:p>
      <w:r>
        <w:rPr>
          <w:b/>
        </w:rPr>
        <w:t>E. 4</w:t>
      </w:r>
    </w:p>
    <w:p>
      <w:r>
        <w:t>Lorsque l’administration entre en matière sur une nouvelle demande, après avoir nié le droit à une prestation (cf. art. 87 al. 3 du règlement sur l’assurance-invalidité du 17 janvier 1961 [RAI – RS 831.201]), l’examen matériel doit être effectué de manière analogue à celui d'un cas de révision au sens de l'art. 17 al. 1 LPGA (ATF 133 V 108 consid. 5 et les références ; 130 V 343 consid. 3.5.2 et les références ; 130 V 71 consid. 3.2 et les références ; arrêt du Tribunal fédéral 9C_899/2015 du 4 mars 2016 consid. 4.1 et les références).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w:t>
      </w:r>
    </w:p>
    <w:p>
      <w:r>
        <w:t>A/3520/2023 - 13/31 -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5</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w:t>
      </w:r>
    </w:p>
    <w:p>
      <w:r>
        <w:t>A/3520/2023 - 14/31 - l’art. 29 al. 1 LPGA. Selon l’art. 29 al. 3 LAI, la rente est versée dès le début du mois au cours duquel le droit prend naissance. Selon l’art. 28 al. 2 LAI (dans sa teneur en vigueur jusqu’au 31 décembre 2021),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Selon une jurisprudence constante, une aggravation de l'état de santé ne justifie pas, en principe, un nouveau cas d'assurance. Toutefois, si les causes de l'invalidité sont matériellement différentes, un nouvel événement assuré survient (arrêts du Tribunal fédéral 8C_93/2017 du 30 mai 2017 consid. 4.2 et 9C_592/2015 du 2 mai 2015 consid 3.2). La jurisprudence a également admis qu'un nouveau cas d'assurance pouvait survenir même si une première atteinte à la santé était toujours présente et causait une incapacité de travail lorsqu'une nouvelle atteinte à la santé totalement distincte apparaissait (arrêt du Tribunal fédéral 9C_697/2015 du 9 mai 2016 consid. 5).</w:t>
      </w:r>
    </w:p>
    <w:p>
      <w:r>
        <w:rPr>
          <w:b/>
        </w:rPr>
        <w:t>E. 7</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w:t>
      </w:r>
    </w:p>
    <w:p>
      <w:r>
        <w:t>A/3520/2023 - 15/31 -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arrêt du Tribunal fédéral 9C_16/2016 du 14 juin 2016 consid. 3.2). À lui seul, un simple comportement ostensible ne permet pas de conclure à une exagération (ATF 141 V 281 consid. 2.2.1 et la référence).</w:t>
      </w:r>
    </w:p>
    <w:p>
      <w:r>
        <w:rPr>
          <w:b/>
        </w:rPr>
        <w:t>E. 7.1</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w:t>
      </w:r>
    </w:p>
    <w:p>
      <w:r>
        <w:t>A/3520/2023 - 16/31 -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(ATF 141 V 281 consid. 4.4 et les références).</w:t>
      </w:r>
    </w:p>
    <w:p>
      <w:r>
        <w:rPr>
          <w:b/>
        </w:rPr>
        <w:t>E. 7.2</w:t>
      </w:r>
    </w:p>
    <w:p>
      <w:r>
        <w:t>La procédure d’administration des preuves qui prévaut en matière de troubles douloureux sans substrat organique et de troubles psychosomatiques analogues est notamment applicable à toutes les maladies psychiques (ATF 143 V 418).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7.3</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w:t>
      </w:r>
    </w:p>
    <w:p>
      <w:r>
        <w:t>A/3520/2023 - 17/31 -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8</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A/3520/2023 - 18/31 -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8.1</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w:t>
      </w:r>
    </w:p>
    <w:p>
      <w:r>
        <w:t>A/3520/2023 - 19/31 -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En présence d'atteintes à la santé physique et psychique, le taux de l'incapacité de travail ne résulte pas de la simple addition de deux taux d'incapacité de travail (d'origine somatique et psychique) mais procède bien plutôt d'une évaluation</w:t>
      </w:r>
    </w:p>
    <w:p>
      <w:r>
        <w:t>A/3520/2023 - 20/31 - globale (arrêt du Tribunal fédéral 9C_80/2024 du 27 août 2024 consid. 5.3 et la référence).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10</w:t>
      </w:r>
    </w:p>
    <w:p>
      <w:r>
        <w:t>kg, sans mouvement de rotation du tronc, sans position penchée en avant ou en arrière, sans marche en terrain accidenté, et éviter les escaliers, échelles et échafaudages.</w:t>
      </w:r>
    </w:p>
    <w:p>
      <w:r>
        <w:rPr>
          <w:b/>
        </w:rPr>
        <w:t>E. 10.1</w:t>
      </w:r>
    </w:p>
    <w:p>
      <w:r>
        <w:t>L’expert psychiatre a rappelé le contexte de l’expertise (rapport p. 1) et énuméré ses sources, soit le dossier remis par la chambre de céans, les examens cliniques de l’intéressée des 17 janvier et 7 février 2025 en présence d’une interprète, le dosage sanguin des psychotropes prescrits, le résumé des rapports d’interventions du Département de psychiatrie des HUG, qui ne figuraient pas au dossier mais qu’il s’était procurés, un contact téléphonique avec le Dr N______ et des échanges avec son co-expert (rapport p. 2). Il a ensuite résumé les pièces pertinentes (rapport p. 2-6), procédé à l’anamnèse, en consignant l’histoire personnelle relatée par l’intéressée, ses antécédents psychiatriques, ses affections actuelles (rapport p. 6-9), puis a rapporté les plaintes spontanées et celles signalées sur demande (rapport p. 9-11). Il a ensuite livré le résultat de ses constatations objectives (rapport p. 11-13), commenté le traitement médicamenteux prescrit (rapport p. 14) et procédé à une appréciation du cas (rapport p. 14-16). Dans ce cadre, il a discuté les diagnostics envisagés en fonction du tableau clinique, justifiant ceux retenus et ceux écartés. Il s’est enfin déterminé sur les limitations fonctionnelles, la capacité de travail, les perspectives thérapeutiques, le pronostic et la réadaptation, et analysé ensuite les indicateurs développés par la jurisprudence (rapport p. 16-18), avant de répondre aux questions de la mission d’expertise (rapport p. 18-22).</w:t>
      </w:r>
    </w:p>
    <w:p>
      <w:r>
        <w:rPr>
          <w:b/>
        </w:rPr>
        <w:t>E. 10.1.1</w:t>
      </w:r>
    </w:p>
    <w:p>
      <w:r>
        <w:t>Au niveau des diagnostics, le Dr S______ a retenu des troubles mixtes de la personnalité (F61), gravité légère à moyenne, un syndrome douloureux somatoforme persistant (F45.4), gravité légère à moyenne, une dysthymie (F34.1), gravité légère, et un abus d’alcool nocif pour la santé (F10.1), gravité légère sans effet durable sur la capacité de travail. Il a expliqué que le tableau clinique de ces dernières années, plus précisément depuis l’entorse de la cheville gauche de 2017, était dominé par deux éléments, soit la survenue de « crises » à répétition se présentant sous la forme de bouffées aiguës de symptômes d'allure anxio-dépressive, souvent accompagnées d'abus d'alcool et/ou de médicaments, faisant suite à une contrariété ou un conflit, et un syndrome douloureux généralisé et chronique, avec parfois des exacerbations aiguës, dépourvu de substrat somatique objectif selon les données disponibles, y</w:t>
      </w:r>
    </w:p>
    <w:p>
      <w:r>
        <w:t>A/3520/2023 - 22/31 - compris celles de son co-expert rhumatologue. Il a considéré que les crises anxio-dépressives s'inscrivaient sur un fond de comportement marqué par l'impulsivité, la labilité des émotions et de l'humeur, l'ambivalence affective. Ces éléments cliniques, documentés depuis 2017, existaient depuis le début de l'âge adulte au plus tard, car il existait de longue date une histoire de vie marquée par les tumultes affectifs et l'instabilité dans la vie sentimentale et relationnelle de l'expertisée, avant même son arrivée en Suisse. La récurrence des problèmes émotionnels et comportementaux dans des contextes différents suggérait qu'ils avaient un caractère « structurel », autrement dit qu'ils étaient inhérents à la personnalité. Ces troubles émotionnels et relationnels avaient des répercussions sur la vie personnelle et sociale de l'expertisée, ce qui justifiait le diagnostic de trouble de la personnalité. Les caractéristiques principales du comportement problématique étaient l'impulsivité, la labilité des émotions et de l'humeur, l'ambivalence affective, le recours aux médicaments et à l'alcool comme réponse anxiolytique. La constellation de ces données orientait vers le diagnostic de trouble de la personnalité émotionnellement labile, type impulsif. Il existait d'autres traits de personnalité, comme l'histrionisme (besoin d'attirer l'attention ou l'aide par un comportement bruyant et extravagant) et la méfiance, avec une conflictualité élevée. La présence de plusieurs traits de personnalité problématiques justifiait le diagnostic de troubles mixtes de la personnalité (F61). Par ailleurs, l’intéressée se plaignait de douleurs généralisées qui dépassaient largement le cadre des atteintes somatiques objectives constatées. Ces douleurs étaient survenues dans un contexte de problèmes psychosociaux importants, soit un conflit conjugal et un divorce, puis un conflit avec un nouveau partenaire, et une menace d'expulsion du territoire suisse. Ils s’étaient installés dans la durée. Dans ces conditions, le diagnostic de syndrome douloureux somatoforme persistant (F45.4) se justifiait. Il existait selon l'anamnèse une humeur abaissée de manière chronique depuis des années, accompagnée d'un manque d'énergie et de plaisir, et d'une fragilité de l'estime de soi. À son examen, les signes objectifs témoignant d'un véritable épisode dépressif d'une certaine gravité étaient absents, hormis un discret ralentissement. La documentation disponible abondante recueillie sur les passages de l’expertisée au service des urgences psychiatriques des HUG montrait que le syndrome dépressif était aigu pendant les crises, mais que celles-ci se résolvaient rapidement sans laisser de signes dépressifs significatifs. Il s’agissait donc d’un syndrome dépressif essentiellement subjectif mais installé dans la durée, soit plus de deux ans. Ce tableau correspondait à ce que la CIM-10 appelait la dysthymie (F34.1). Enfin, l’intéressée reconnaissait une prise d'alcool occasionnelle, « quand ça ne va pas ». Parfois la prise d'alcool, au lieu de calmer la crise, l'aggravait en provoquant de la confusion, de l'agitation ou de l'agressivité. Elle pouvait aussi contribuer à la prise de poids. Il n'y avait pas d'évidence de consommation</w:t>
      </w:r>
    </w:p>
    <w:p>
      <w:r>
        <w:t>A/3520/2023 - 23/31 - quotidienne ou de dépendance. Il retenait néanmoins le diagnostic d'abus d'alcool nocif pour la santé (F10.1). L’expert a ensuite pris position sur d’autres diagnostics pouvant entrer en considération. Il a exposé que les manifestations anxieuses étaient, comme les symptômes dépressifs, surtout présents dans les moments de crise. Il était possible qu'il existe un syndrome anxieux dépassant les situations de crise, avec un comportement d'évitement social et des épisodes anxieux aigus que l'expertisée appelait des « convulsions » comprenant des crises douloureuses et des nausées-vomissements. L'évitement était partiel, puisque l'expertisée prenait du plaisir à chiner au marché aux puces chaque semaine et pouvait parfaitement utiliser les transports publics. Par conséquent il n'atteignait probablement pas le degré d'un trouble phobique. Les crises anxieuses étant atypiques, puisque les douleurs et nausées étaient au premier plan, il ne lui paraissait pas possible, au vu des données disponibles, de retenir fermement le diagnostic de trouble panique. Il en allait de même pour le diagnostic d'état de stress post-traumatique. Le ou les traumatismes impliqués étaient mal définis et les phénomènes intrusifs relatés n’avaient pas le caractère sensoriel typique des flashbacks post-traumatiques, et l'évitement (des hommes) n'était pas évident, puisque l’intéressée déclarait qu'elle aimerait bien se marier et qu'elle fréquentait le samedi le marché aux puces et un café où elle côtoyait des hommes. Le diagnostic de schizophrénie ne lui paraissait pas indiqué pour rendre compte des éléments possiblement psychotiques rapportés. La méfiance vis-à-vis d'autrui n'avait pas le caractère inébranlable et spécifique du phénomène délirant, et les perceptions anormales relatées, auditives et visuelles, paraissaient relever de phénomènes hypnagogiques/hypnopompiques, c'est-à-dire survenant dans les états de conscience intermédiaires situés aux confins de la veille et du sommeil. Ils étaient peut-être favorisés par la prise de plusieurs psychotropes. L’expert a ensuite rappelé que le Dr G______ avait diagnostiqué, en décembre 2020, un épisode dépressif léger en voie d'amélioration, que le Dr P______ avait retenu dans son expertise un trouble anxieux et dépressif mixte, et que les médecins des urgences psychiatriques des HUG reprenaient chaque fois le diagnostic de trouble de l'adaptation. Il a précisé que ces diagnostics avaient en commun de désigner une atteinte de gravité modérée, comprenant une composante dépressive et une composante anxieuse. Son propre diagnostic était compatible avec ces appréciations, avec la différence qu’il mettait l'accent sur la durée du syndrome dépressif, tandis que la composante anxieuse était incluse dans le diagnostic de personnalité, notamment sa composante de labilité émotionnelle qui favorisait l'émergence de moments d'anxiété, notamment d'angoisse d'abandon. Enfin, il écartait les troubles retenus par le Dr N______ car, sur la base des données disponibles et de ses constatations, il n’était pas convaincu par le diagnostic d'état de stress post-traumatique, ni par celui d'épisode dépressif sévère. Cette appréciation rejoignait celle des médecins de Belle-Idée qui avaient</w:t>
      </w:r>
    </w:p>
    <w:p>
      <w:r>
        <w:t>A/3520/2023 - 24/31 - soigné l'expertisée en décembre 2023. Ils avaient écarté le diagnostic d'épisode dépressif sévère retenu par le médecin du service des urgences qui avait hospitalisé l’intéressée, et conclu à nouveau à un trouble de l'adaptation. Quant aux autres diagnostics mentionnés par le Dr N______, ils se retrouvaient plus ou moins dans son diagnostic de syndrome douloureux somatoforme persistant. La somatisation se manifestait par des symptômes psychosomatiques divers et pas uniquement par des douleurs. Le trouble neurologique fonctionnel était, à sa connaissance, un diagnostic utilisé uniquement en France, et désignait des manifestations d'allure neurologique sans atteinte neurologique organique. C'était donc un diagnostic situé quelque part entre le trouble somatoforme (F45) et le trouble de conversion (F44) de la CIM-10. Pour sa part, il n’avait pas relevé de manifestations franchement pseudo-neurologiques, ni dans son examen, ni dans les divers rapports à disposition.</w:t>
      </w:r>
    </w:p>
    <w:p>
      <w:r>
        <w:rPr>
          <w:b/>
        </w:rPr>
        <w:t>E. 10.1.2</w:t>
      </w:r>
    </w:p>
    <w:p>
      <w:r>
        <w:t>Au niveau des limitations fonctionnelles, le Dr S______ a exposé que le trouble de la personnalité compliquait la vie affective, relationnelle et sociale des sujets qui en souffraient. Par l'instabilité affective qu'elle provoquait, cette atteinte était souvent à l'origine de conflits et de ruptures, ce qui nuisait à l'épanouissement professionnel du sujet. Mais elle ne l'empêchait pas de travailler, sauf dans les périodes de crises, celles-ci pouvant durer de quelques heures à quelques jours, parfois quelques semaines. Dans le cas de l'expertisée, l'analyse de ses nombreux passages au service des urgences psychiatriques entre 2021 et 2024 montrait que les crises étaient brèves et duraient rarement plus de 48 heures, au maximum une semaine. Seul l'épisode de crise de décembre 2023 avait motivé une hospitalisation, qui avait duré cinq jours. En conclusion, le diagnostic de trouble de la personnalité retenu chez l'expertisée ne déterminait pas d'incapacité de travail durable, mais constituait un handicap pour la conduite d'un cursus professionnel harmonieux et fluide. On pouvait considérer qu'il avait un certain impact sur le degré de performance professionnelle, que les experts évalueraient globalement avec celui des autres atteintes. Ce handicap se manifestait dans toute activité professionnelle. Il était difficile d'évaluer objectivement les répercussions fonctionnelles du syndrome douloureux somatoforme persistant, en l'absence d'atteintes organiques objectivables. Il admettait que la douleur chronique mobilisait une part d'attention et d'énergie, ce qui pouvait se répercuter sur les performances de l'expertisée, donc sur son rendement, étant précisé que l’appréciation médicale des indicateurs juridiques de gravité serait présentée plus loin dans son rapport. La dysthymie était une forme de dépression d’intensité légère, n’atteignant pas celle d'un véritable épisode dépressif au sens de la CIM-10. On admettait généralement qu'à elle seule cette forme de dépression n'était pas suffisamment prononcée pour altérer durablement la capacité de travail. Toutefois lorsqu'elle était associée à des comorbidités d'une certaine gravité, elle pouvait contribuer à</w:t>
      </w:r>
    </w:p>
    <w:p>
      <w:r>
        <w:t>A/3520/2023 - 25/31 - diminuer la performance professionnelle en diminuant l’énergie disponible, l’estime de soi et la capacité de se projeter dans l’avenir. Enfin, l’abus d'alcool occasionnel n'avait pas d'effet durable sur la capacité de travail.</w:t>
      </w:r>
    </w:p>
    <w:p>
      <w:r>
        <w:rPr>
          <w:b/>
        </w:rPr>
        <w:t>E. 10.1.3</w:t>
      </w:r>
    </w:p>
    <w:p>
      <w:r>
        <w:t>Concernant la capacité de travail, l’expert a relevé qu’aucune des atteintes diagnostiquées n'impactait durablement la capacité de travail. En revanche, il fallait admettre que la combinaison de trois troubles qui se renforçaient réciproquement était à même d'altérer, dans une certaine mesure, la performance professionnelle. Il estimait à 25% la diminution globale du rendement professionnel due à l'action conjuguée des trois atteintes. L'altération du rendement était assimilable à une baisse équivalente de la capacité de travail. La diminution de 25% de la capacité de travail était durable car les trois atteintes avaient elles-mêmes un tel caractère. Il estimait que l'altération de la capacité de travail était présente depuis le mois d’octobre 2020, ce qui correspondait au moment où l'atteinte psychiatrique était documentée et au début de la prise en charge psychiatrique selon le rapport du Dr G______ du 22 décembre 2020. Préalablement, l’intéressée avait consulté une psychiatre dans le contexte du conflit conjugal violent qui l'opposait à son mari, mais il n'avait pas pu contacter cette psychiatre dont l’expertisée avait oublié le nom. Il ignorait si la composante somatoforme douloureuse était déjà présente à l'époque. L’expert a également pris position sur les avis des autres psychiatres. Le Dr G______ considérait que l'état psychique de sa patiente n'impactait pas sa capacité de travail. Il notait la présence d'une dépression légère en voie d'amélioration, ainsi qu'une problématique de la personnalité. En revanche il n'incluait pas la dimension douloureuse du tableau clinique dans son appréciation. Quant au Dr N______, il estimait que sa patiente présentait une pathologie psychiatrique sévère, la rendant incapable dans toute activité professionnelle. L’expert ne partageait pas ce point de vue, car ses constatations n’allaient pas dans le sens d'une pathologie sévère, étant rappelé qu’il avait argumenté les raisons pour lesquelles il s’écartait des diagnostics posés par le psychiatre traitant. En outre, son appréciation était corroborée par les autres avis psychiatriques disponibles, soit celui du Dr G______, ancien psychiatre traitant en 2020, celui du Dr P______, et ceux des psychiatres des HUG consultés de 2021 à 2024, qui n’avaient pas retenu d'atteinte psychiatrique sévère au long cours en dépit de la survenue récurrente de crises aiguës de courte durée. Les pathologies de l'expertisée étaient connues pour leur tendance à la chronicité et pour la difficulté du traitement. Au vu de ces considérations, il ne voyait pas de changement significatif de la situation dans un avenir prévisible.</w:t>
      </w:r>
    </w:p>
    <w:p>
      <w:r>
        <w:rPr>
          <w:b/>
        </w:rPr>
        <w:t>E. 10.1.4</w:t>
      </w:r>
    </w:p>
    <w:p>
      <w:r>
        <w:t>L’expert s’est ensuite déterminé sur les indicateurs développés par la jurisprudence.</w:t>
      </w:r>
    </w:p>
    <w:p>
      <w:r>
        <w:t>A/3520/2023 - 26/31 - Dans ce contexte, il a rappelé que les répercussions fonctionnelles sur la capacité de travail étaient dues au cumul des atteintes qui restaient de degré modéré. S’agissant du succès du traitement, il a constaté qu’il n'y avait guère de changement visible et durable depuis que les atteintes psychiatriques étaient documentées, hormis que, depuis 2021, l'expertisée faisait souvent appel au service d'urgences lorsqu'elle se sentait débordée par les émotions. Il existait une pathologie de la personnalité qui diminuait les ressources personnelles, principalement la capacité de gérer les émotions. L'expertisée disposait néanmoins d'une grande énergie dont témoignait la grande capacité qu'elle montrait pour se mobiliser elle-même et mobiliser autrui (instances sociales, médecins et services médicaux) pour défendre ses intérêts. Le dossier abondait de ses innombrables démarches, et des nombreuses prestations qu'elle demandait et obtenait des services sociaux et médicaux. Concernant le contexte social, il a relevé que l'expertisée avait un petit cercle d'amies, gardait un contact quotidien étroit par téléphone avec sa mère et sa grand-mère. Quant à la cohérence, il existait, au plan psychiatrique, un écart significatif entre les limitations fonctionnelles alléguées et les constatations objectives.</w:t>
      </w:r>
    </w:p>
    <w:p>
      <w:r>
        <w:rPr>
          <w:b/>
        </w:rPr>
        <w:t>E. 10.2</w:t>
      </w:r>
    </w:p>
    <w:p>
      <w:r>
        <w:t>Au niveau rhumatologique, l’expert a résumé les pièces du dossier (rapport p. 10-73), relaté les plaintes de l’intéressée (rapport p. 74), retracé l’anamnèse, le déroulement d’une journée-type et les antécédents (rapport p. 75-82). Il a ensuite consigné ses constatations lors de leur entretien du 31 janvier 2025 en présence d’une interprète (rapport p. 82-85), discuté les diagnostics, l’évolution de l’état de santé depuis 2019, les limitations fonctionnelles, la capacité de travail et le traitement (rapport p. 85-99), en répondant aux questions posées.</w:t>
      </w:r>
    </w:p>
    <w:p>
      <w:r>
        <w:rPr>
          <w:b/>
        </w:rPr>
        <w:t>E. 10.2.1</w:t>
      </w:r>
    </w:p>
    <w:p>
      <w:r>
        <w:t>S’agissant des atteintes à la santé, l’expert a expliqué que les lombalgies communes chroniques étaient un syndrome sans corrélation anatomo- pathologique qui était par nature non évolutif et de bon pronostic. Il l’a qualifié de gravité faible et a considéré qu’il avait rendu impossible l’activité de nettoyeuse depuis sa survenance en janvier 2019. Il a retenu le diagnostic de syndrome douloureux chronique, terme plus générique qu’il préférait en l’occurrence au diagnostic de fibromyalgie, étant encore précisé que la terminologie variait selon les spécialités (fibromyalgie, phénomène de sensibilisation centrale). Il a relevé que les douleurs alléguées dépassaient le substrat organique objectivable, qui se limitait actuellement à des troubles dégénératifs du rachis, par ailleurs fréquents dans la population générale et pas forcément symptomatiques. La gravité de cette atteinte était difficile à quantifier de par sa nature subjective et elle avait été évaluée de manière consensuelle entre les experts.</w:t>
      </w:r>
    </w:p>
    <w:p>
      <w:r>
        <w:t>A/3520/2023 - 27/31 - Il a également mentionné des lésions dégénératives post entorses et opération de la cheville gauche. L’atteinte était apparue probablement progressivement après les entorses et avait été compliquée d’une algodystrophie qui avait évolué en mars-avril 2019. La présence de lésions dégénératives expliquait en partie les douleurs de la cheville gauche. La gravité était faible et le pronostic bon chez l’intéressée qui ne sollicitait pas sa cheville. Cette atteinte avait rendu impossible l’activité de nettoyeuse depuis sa survenance le 22 août 2017. L’expert a également signalé une obésité, sans effets sur la capacité de travail.</w:t>
      </w:r>
    </w:p>
    <w:p>
      <w:r>
        <w:rPr>
          <w:b/>
        </w:rPr>
        <w:t>E. 10.2.2</w:t>
      </w:r>
    </w:p>
    <w:p>
      <w:r>
        <w:t>S’agissant des limitations fonctionnelles, l’activité adaptée devrait être exercée en position assise, permettre les changements de position toutes les heures, sans port de charge fréquent de plus de 5 kg et occasionnel de plus de</w:t>
      </w:r>
    </w:p>
    <w:p>
      <w:r>
        <w:rPr>
          <w:b/>
        </w:rPr>
        <w:t>E. 10.2.3</w:t>
      </w:r>
    </w:p>
    <w:p>
      <w:r>
        <w:t>Dans une activité adaptée, la capacité de travail avait été, au niveau somatique, de 0% dans toute activité entre août 2017 et mai 2019 en raison de l’entorse de la cheville gauche et de ses complications, de 50% entre les 6 et 31 mai 2019 selon les pièces au dossier, puis de 100% dès le mois de juin 2019 selon le médecin qui suivait alors l’intéressée. Il estimait cependant qu’il fallait, déjà à cette période, tenir compte d’une baisse de rendement estimée à 10%, de sorte qu’il concluait à une capacité de travail de 50% dès le 6 mai 2019 et de 90% dès le 1er juin 2019, dans une activité respectant les limitations fonctionnelles.</w:t>
      </w:r>
    </w:p>
    <w:p>
      <w:r>
        <w:rPr>
          <w:b/>
        </w:rPr>
        <w:t>E. 10.3</w:t>
      </w:r>
    </w:p>
    <w:p>
      <w:r>
        <w:t>Conformément au mandat confié, les experts ont procédé à une appréciation consensuelle globale, tenant compte de l’interaction des atteintes psychiatriques et des troubles somatiques. Ils ont expliqué que les différents diagnostics retenus renforçaient réciproquement les gênes occasionnées, ce qui avait un impact sur le rendement professionnel, et par conséquent sur le taux de la capacité de travail, diminuée de 25% depuis octobre 2020, soit la date du début de l’impact des problèmes psychiques qui s’ajoutaient au syndrome douloureux chronique, et pour une durée indéterminée. De façon consensuelle, ils ont considéré que la capacité de travail avait été de 0% dans toute activité entre août 2017 et mai 2019, de 50% dans une activité adaptée au mois de mai 2019, de 90% dans une activité adaptée de juin 2019 à septembre 2020 en raison de l’impact du syndrome douloureux chronique, et de 75% dans une activité adaptée depuis octobre 2020 en raison des troubles psychiques qui se sont ajoutés au syndrome précité.</w:t>
      </w:r>
    </w:p>
    <w:p>
      <w:r>
        <w:rPr>
          <w:b/>
        </w:rPr>
        <w:t>E. 10.4</w:t>
      </w:r>
    </w:p>
    <w:p>
      <w:r>
        <w:t>La chambre de céans constate ainsi que les rapports des experts reposent sur l’intégralité du dossier médical de la recourante, dont les plaintes ont été prises en considération. Les experts ont procédé à un examen clinique complet dans leur domaine de spécialisation et se sont livrés à une analyse minutieuse du cas. Ils ont justifié leur appréciation, en particulier lorsqu’ils se sont écartés des conclusions</w:t>
      </w:r>
    </w:p>
    <w:p>
      <w:r>
        <w:t>A/3520/2023 - 28/31 - d’autres médecins, et ce sur toutes les questions litigieuses, notamment celles relatives aux diagnostics, à l’évolution de l’état de santé, aux limitations fonctionnelles et à l’évaluation de la capacité de travail. En outre, les experts ont dûment évalué la situation globale de l’expertisée, en tenant compte de l’interférence des différentes atteintes somatiques et psychiques. Ils ont présenté des conclusions claires, cohérentes et très argumentées. La chambre de céans ne relève aucune contradiction dans les rapports des Drs S______ et T______, ni le moindre indice permettant de douter du bien-fondé de ces documents.</w:t>
      </w:r>
    </w:p>
    <w:p>
      <w:r>
        <w:rPr>
          <w:b/>
        </w:rPr>
        <w:t>E. 10.4.1</w:t>
      </w:r>
    </w:p>
    <w:p>
      <w:r>
        <w:t>La recourante a indiqué contester l’expertise et rappelé l’appréciation divergente du Dr N______, dont elle a sollicité l’audition orale et la détermination écrite sur le rapport de l’expert judiciaire. Il n’appartient toutefois pas à la chambre de céans d’ordonner des investigations complémentaires en cas d’expertise judiciaire à laquelle une pleine valeur probante peut être reconnue, ce qui est le cas en l’espèce. L’intéressée a été invitée à prendre position sur l’expertise judiciaire, ce qu’elle n’a pas fait, et à produire si elle le souhaitait un nouveau rapport du Dr N______, ce qu’elle n’a pas fait non plus. À toutes fins utiles, il sera rappelé que le Dr S______ a commenté les rapports du Dr N______ et expliqué les raisons pour lesquelles il ne partageait pas son avis. Il a ainsi noté que le diagnostic d'état de stress post-traumatique ne pouvait pas être confirmé sur la base des données disponibles et de ses propres constatations. Il ne validait pas non plus, au vu des signes objectifs lors de son examen, le diagnostic d'épisode dépressif sévère, lequel avait également été écarté par les médecins de Belle-Idée ayant examiné la recourante en décembre 2023. Les autres diagnostics mentionnés par le Dr N______ étaient globalement compris dans le syndrome douloureux somatoforme persistant. S’agissant du degré de gravité des troubles psychiques, l’expert a souligné que son évaluation était corroborée par les autres avis psychiatriques au dossier, soit celui du Dr G______, précédent psychiatre traitant, celui du Dr P______, expert mandaté en 2023, et ceux des spécialistes des HUG, consultés entre 2021 et 2024. Ces différents psychiatres n’avaient pas non plus retenu d’atteinte psychiatrique sévère au long cours en dépit des crises récurrentes aigues de courte durée. On relèvera encore que l’expert a constaté une part d'excès dans la démonstration du mal-être de l’expertisée. Celui-ci, et la souffrance qui allait avec, ne faisaient pas de doute, et les diagnostics retenus en témoignaient. Cependant ils ne lui semblaient pas justifier l'ensemble des limitations dont l'expertisée se plaignait, notamment l'incapacité totale d'exercer une activité lucrative. Il a exposé qu’il existait surtout des traits de type émotionnellement labile, notamment de l'impulsivité, et accessoirement des éléments de méfiance et d'histrionisme, avec un besoin de « mettre en scène » sa souffrance pour attirer l'attention, la</w:t>
      </w:r>
    </w:p>
    <w:p>
      <w:r>
        <w:t>A/3520/2023 - 29/31 - bienveillance ou les soins. Il a estimé que les limitations alléguées paraissaient excessives. Le nombre de passage au service des urgences psychiatriques entre 2021 et 2024 paraissait excessif en l'absence d'une pathologie psychiatrique de fond sévère, les constatations des médecins du service d'urgences rejoignaient les siennes concernant les atteintes psychiatriques. Il a encore relevé que la plupart du temps, c’était l’expertisée qui se rendait au service d'urgences ou s'y faisait emmener en ambulance. Cliniquement le tableau était cohérent, mais les répercussions (arrêt de travail prolongé, recours répété au service d'urgences) lui semblaient excessives. Il était probable que l'élément histrionique de la personnalité joue un rôle dans ces manifestations.</w:t>
      </w:r>
    </w:p>
    <w:p>
      <w:r>
        <w:rPr>
          <w:b/>
        </w:rPr>
        <w:t>E. 10.4.2</w:t>
      </w:r>
    </w:p>
    <w:p>
      <w:r>
        <w:t>L’intimé a également contesté les conclusions du Dr S______, affirmant que le status psychiatrique mentionné dans l’expertise de celui-ci était superposable à celui du Dr P______, si bien qu’il convenait de conclure que l’expert judiciaire s’était livré à une analyse différente du même état de fait. La chambre de céans rappellera toutefois que le Dr S______ a posé d’autres diagnostics que ceux retenus par le Dr P______, soit des troubles mixtes de la personnalité, un syndrome douloureux somatoforme persistant et une dysthymie, et que la capacité de travail réellement exigible en cas de syndrome douloureux somatoforme et de troubles psychiques doit être examinée au moyen des indicateurs développés par la jurisprudence, et non pas sur la seule base du status psychiatrique. Le Dr S______ a dûment expliqué que la combinaison des trois pathologies retenues, qui se renforçaient réciproquement, était propre à altérer la performance professionnelle. Il a estimé que la diminution globale de rendement, assimilable à une baisse de la capacité de travail, s’élevait à 25%, en raison de l’action conjuguée des troubles. En outre, les Drs S______ et T______ ont souligné que les atteintes somatiques et psychiatriques avaient également des interactions entre elles, sous la forme d’une intensification réciproque des gênes occasionnées. Leur évaluation de la capacité de travail tient ainsi compte de l’association du syndrome douloureux chronique et des problèmes psychiques. Rien ne justifie de s’écarter de ces conclusions, puisque l’expertise judiciaire bidisciplinaire a précisément été ordonnée afin d’obtenir une évaluation globale et définitive de l'état de santé et de la capacité de travail de la recourante, après discussion commune entre les experts psychiatre et rhumatologue, étant rappelé que les Drs P______ et Q______ n’ont, pour leur part, pas procédé à une réelle appréciation consensuelle, comme relevé dans l’ordonnance d’expertise du 3 décembre 2024.</w:t>
      </w:r>
    </w:p>
    <w:p>
      <w:r>
        <w:rPr>
          <w:b/>
        </w:rPr>
        <w:t>E. 10.5</w:t>
      </w:r>
    </w:p>
    <w:p>
      <w:r>
        <w:t>Conformément aux conclusions de l’expertise judiciaire, à laquelle une pleine valeur probante doit être reconnue, la chambre de céans tiendra pour établi, au degré de la vraisemblance prépondérante requis, que la recourante présentait, dans une activité adaptée aux limitations fonctionnelles énoncées par l’expert</w:t>
      </w:r>
    </w:p>
    <w:p>
      <w:r>
        <w:t>A/3520/2023 - 30/31 - rhumatologue, une capacité de travail de 75% depuis le mois d’octobre 2020, compte tenu de l’impact des problèmes psychiques qui se sont alors ajoutés au syndrome douloureux chronique. L’état de santé de la recourante s’est donc aggravé dans une plus grande mesure que celle admise par l’intimé, de sorte que la décision litigieuse doit être annulée et le dossier renvoyé à l’autorité pour qu’elle procède au calcul du degré d’invalidité et statue sur un éventuel droit à la rente.</w:t>
      </w:r>
    </w:p>
    <w:p>
      <w:r>
        <w:rPr>
          <w:b/>
        </w:rPr>
        <w:t>E. 11</w:t>
      </w:r>
    </w:p>
    <w:p>
      <w:r>
        <w:t>Selon la jurisprudence (ATF 139 V 496 consid. 4.3 ; 139 V 349 consid. 5.4), les frais découlant de la mise en œuvre d'une expertise judiciaire peuvent être mis à la charge de l'assurance-invalidité lorsque l'autorité judiciaire de première instance ordonne une expertise judiciaire parce qu'elle estime que l'instruction menée par l'autorité administrative est insuffisante (ATF 137 V 210 consid. 4.4.1.4). Cette autorité intervient dans les faits en lieu et place de l'autorité administrative qui aurait dû, en principe, mettre en œuvre cette mesure d'instruction dans le cadre de la procédure administrative. Dans ces circonstances, les frais de l'expertise ne constituent pas des frais de justice au sens de l'art. 69 al. 1bis LAI, mais des frais relatifs à la procédure administrative au sens de l'art. 45 LPGA. Ceux-ci doivent être pris en charge par l'assurance-invalidité. Cette règle ne saurait toutefois entraîner systématiquement la mise des frais d'une expertise judiciaire à la charge de l'autorité administrative. Encore faut-il que celle-ci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réaliser une expertise judiciaire (ATF 137 V 210 consid. 4.4.2 ; arrêt du Tribunal fédéral 9C_560/2024 du 11 décembre 2024 consid. 3 et les références). En l’espèce, les carences relevées dans l’expertise administrative, en particulier l’absence d’une réelle évaluation globale des experts, ne suffisent pas pour mettre les frais de l’expertise judiciaire à la charge de l’intimé.</w:t>
      </w:r>
    </w:p>
    <w:p>
      <w:r>
        <w:rPr>
          <w:b/>
        </w:rPr>
        <w:t>E. 12</w:t>
      </w:r>
    </w:p>
    <w:p>
      <w:r>
        <w:t>Au vu de ce qui précède, le recours sera partiellement admis, la décision du 25 septembre 2023 annulée et la cause renvoyée à l'intimé pour nouveau calcul du degré d'invalidité de la recourante, en prenant en compte une capacité de travail de 75% dans une activité adaptée aux limitations fonctionnelles, depuis le mois d’octobre 2020. La recourante obtenant partiellement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A/3520/2023 - 31/31 -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