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ATAS/673/2024 vom 3. September 2024</w:t>
      </w:r>
    </w:p>
    <w:p>
      <w:r>
        <w:t>GE Cour de justice, 2024-09-03, FR</w:t>
      </w:r>
    </w:p>
    <w:p>
      <w:r>
        <w:rPr>
          <w:b/>
        </w:rPr>
        <w:t xml:space="preserve">Quelle: </w:t>
      </w:r>
      <w:r>
        <w:t>https://mcp.opencaselaw.ch/entscheid/ge_gerichte_ATAS_673_2024</w:t>
      </w:r>
    </w:p>
    <w:p>
      <w:r>
        <w:t>FR: GE_GERICHTE ATAS/673/2024 du 3 septembre 2024</w:t>
      </w:r>
    </w:p>
    <w:p>
      <w:r>
        <w:t>IT: GE_GERICHTE ATAS/673/2024 del 3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le recours est recevable (art. 56 ss LPGA).</w:t>
      </w:r>
    </w:p>
    <w:p>
      <w:r>
        <w:rPr>
          <w:b/>
        </w:rPr>
        <w:t>E. 2</w:t>
      </w:r>
    </w:p>
    <w:p>
      <w:r>
        <w:t>Le litige porte sur le bien-fondé de la décision sur opposition de l’intimé du 2 juin 2023 confirmant la révocation de la décision d’octroi de l’AIT du 28 mars 2023 et par laquelle l’intimé invitait la caisse de chômage à demander à l’employeuse le remboursement des AIT versées pour la période du 1er janvier au 30 juin 2022.</w:t>
      </w:r>
    </w:p>
    <w:p>
      <w:r>
        <w:rPr>
          <w:b/>
        </w:rPr>
        <w:t>E. 3.1</w:t>
      </w:r>
    </w:p>
    <w:p>
      <w:r>
        <w:t>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al. 1 et 2bis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de l'ordonnance sur l'assurance-chômage obligatoire et l'indemnité en cas d'insolvabilité du 31 août 1983 (ordonnance sur l’assurance- chômage, OACI - RS 837.02), l'autorité cantonale vérifie auprès de l'employeur si</w:t>
      </w:r>
    </w:p>
    <w:p>
      <w:r>
        <w:t>A/2203/2023 - 7/11 - les conditions dont dépend l'octroi d'AIT sont remplies. Elle peut exiger que les conditions selon l'art. 65 let. b et c LACI fassent l'objet d'un contrat écrit..</w:t>
      </w:r>
    </w:p>
    <w:p>
      <w:r>
        <w:rPr>
          <w:b/>
        </w:rPr>
        <w:t>E. 3.2</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3ème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3.3</w:t>
      </w:r>
    </w:p>
    <w:p>
      <w:r>
        <w:t>Selon le Bulletin LACI/MMT J 27, janvier 2019, du secrétariat d’État à l’économie, l’employeur s’engage à remplir un certain nombre d’obligations. Afin que l'employeur soit parfaitement informé, il est ainsi recommandé d'introduire une clause dans la « Demande et confirmation relative à l'initiation au travail qui protège les assurés contre les licenciements pendant les AIT et/ou durant une période après l'échéance des AIT ». Cela signifie que le contrat de travail ne peut être résilié durant les périodes précitées. L'employeur peut ainsi être tenu de restituer les allocations perçues si les rapports de travail sont résiliés sans justes motifs (art. 337 al. 2 de la loi fédérale du 30 mars 1911, complétant le Code civil suisse [CO, Code des obligations - RS 220])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w:t>
      </w:r>
    </w:p>
    <w:p>
      <w:r>
        <w:t>A/2203/2023 - 8/11 -</w:t>
      </w:r>
    </w:p>
    <w:p>
      <w:r>
        <w:rPr>
          <w:b/>
        </w:rPr>
        <w:t>E. 3.4</w:t>
      </w:r>
    </w:p>
    <w:p>
      <w:r>
        <w:t>Aux 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w:t>
      </w:r>
    </w:p>
    <w:p>
      <w:r>
        <w:rPr>
          <w:b/>
        </w:rPr>
        <w:t>E. 3.5</w:t>
      </w:r>
    </w:p>
    <w:p>
      <w:r>
        <w:t>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w:t>
      </w:r>
    </w:p>
    <w:p>
      <w:r>
        <w:t>A/2203/2023 - 9/11 -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C 15/05 du 23 mars 2006 consid. 4.3 ;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3.6</w:t>
      </w:r>
    </w:p>
    <w:p>
      <w:r>
        <w:t>Le juge apprécie librement s’il existe de justes motifs (art. 337 al. 3 CO) et applique les règles du droit et de l’équité (art. 4 CC [code civil suisse du 10 décembre 1907 ; RS 210]). À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 TF 8C_818/2011 du 26 janvier 2012 consid. 3).</w:t>
      </w:r>
    </w:p>
    <w:p>
      <w:r>
        <w:rPr>
          <w:b/>
        </w:rPr>
        <w:t>E. 4.1</w:t>
      </w:r>
    </w:p>
    <w:p>
      <w:r>
        <w:t>En l’espèce, la décision d’octroi des AIT du 21 décembre 2021 précise qu’après le temps d’essai, le contrat de travail ne peut être résilié pendant l’initiation et jusqu’à trois mois après la fin de l’initiation au travail, sauf pour de justes motifs au sens de l’art. 337 CO. En résiliant le contrat de travail de l’assuré le 5 mai 2022, pour le 30 juin 2022, soit avant l’échéance du délai indiqué dans la décision d’octroi des prestations, la recourante a contrevenu à cette injonction.</w:t>
      </w:r>
    </w:p>
    <w:p>
      <w:r>
        <w:rPr>
          <w:b/>
        </w:rPr>
        <w:t>E. 4.2</w:t>
      </w:r>
    </w:p>
    <w:p>
      <w:r>
        <w:t>Il convient donc d’examiner si la recourante peut se prévaloir de l’existence de justes motifs à la résiliation. Dans le cas particulier, la recourante et son employé avait convenu, selon les termes d’un courriel de la recourante (ci-dessus EN FAIT C.e) que l’employé démissionnerait dans les trois mois pour continuer son entreprise, l’idée étant qu’il bénéficie de trois mois d’AIT. L’employeuse acceptait ainsi d’aider son employé, un ancien camarade d’école, en l’employant durant quelques mois afin de lui permettre de créer sa propre entreprise. À teneur d’un échange entre la recourante et l’avocat de son ancien employé, il apparaît que ces derniers sont entrés en conflit en cours de contrat. La recourante soutient que son employé a travaillé la</w:t>
      </w:r>
    </w:p>
    <w:p>
      <w:r>
        <w:t>A/2203/2023 - 10/11 - majorité du temps pour la constitution de son entreprise et qu’il ne lui a pas rendu un code source lui étant destiné. L’employé, par l’intermédiaire de son conseil, a contesté ces faits en soutenant avoir rempli son cahier des charges et avoir tenté de restituer ledit code à son employeuse sans succès. Les parties ont finalement trouvé un arrangement lors d’une audience de conciliation, à l’issue duquel l’employeuse a versé le salaire de l’employé jusqu’à la fin du mois de juin, soit les deux mois de salaires restés impayés depuis la résiliation du contrat. Malgré le conflit entre ces deux parties et compte tenu des éléments contradictoires au dossier sur les raisons réelles de la résiliation, il ne peut pas être admis au degré de vraisemblance suffisant que l’employeuse avait un motif fondé de résiliation du contrat de travail de son employé avec effet immédiat le 5 mai 2022. Le fait que la recourante a partiellement libéré l’employé de son obligation de travailler le 5 mai 2022 tout en lui demandant de remplir certaines tâches inachevées révèle que la poursuite du contrat jusqu’au 30 juin 2022 restait acceptable malgré les désaccords des parties au contrat de travail. La question de la restitution du code source auquel se raccroche la recourante s’est posée postérieurement à la résiliation du contrat par lettre du 5 mai 2022, étant relevant que l’employeuse avait initialement indiqué dans l’attestation destinée à l’OCE que le motif de la résiliation était d’ordre économique. En outre, l’avocat de l’employé a soutenu à cet égard que son mandant avait à plusieurs reprises tenté de joindre son employeuse pour lui remettre ledit code et a rappelé à cette dernière que le code était à sa disposition en son Étude. Dans ces circonstances, la chambre de céans considère que la recourante n’avait pas de justes motifs au sens de l’art. 337 CO, lorsqu’elle a résilié le contrat de travail de son employé le 5 mai 2022 pour le 30 juin 2022. En ce qui concerne l’accord initial entre l’employeuse et son ancien camarade de classe selon lequel l’employé comptait démissionner de lui-même après trois mois de travail pour l'employeuse, ce qui devait lui permettre de créer sa société en percevant des AIT, il démontre que les parties ne cherchaient pas atteindre le but du versement des allocations et que, partant, les allocations déjà versées l'ont été indûment. Il ne se justifie pas de renoncer à la restitution de ces prestations. L’intimé était fondé à prononcer la révocation de la mesure. La décision attaquée doit donc être confirmée.</w:t>
      </w:r>
    </w:p>
    <w:p>
      <w:r>
        <w:rPr>
          <w:b/>
        </w:rPr>
        <w:t>E. 5</w:t>
      </w:r>
    </w:p>
    <w:p>
      <w:r>
        <w:t>Au vu des éléments qui précédent, le recours doit être rejeté. Il n'y a pas lieu de percevoir de frais judiciaires, ni d'allouer de dépens à la recourante qui succombe (art. 61 let. a et g LPGA).</w:t>
      </w:r>
    </w:p>
    <w:p>
      <w:r>
        <w:t>A/2203/2023 - 11/11 -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