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ATAS/673/2020 vom 24. August 2020</w:t>
      </w:r>
    </w:p>
    <w:p>
      <w:r>
        <w:t>GE Cour de justice, 2020-08-24, FR</w:t>
      </w:r>
    </w:p>
    <w:p>
      <w:r>
        <w:rPr>
          <w:b/>
        </w:rPr>
        <w:t xml:space="preserve">Quelle: </w:t>
      </w:r>
      <w:r>
        <w:t>https://mcp.opencaselaw.ch/entscheid/ge_gerichte_ATAS_673_2020</w:t>
      </w:r>
    </w:p>
    <w:p>
      <w:r>
        <w:t>FR: GE_GERICHTE ATAS/673/2020 du 24 août 2020</w:t>
      </w:r>
    </w:p>
    <w:p>
      <w:r>
        <w:t>IT: GE_GERICHTE ATAS/673/2020 del 24 agosto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Les prestations indûment touchées doivent être restituées. Dans son domaine d’application, la LPGA ancre ce principe à son art. 25. La teneur de cette disposition est répétée pour les PCF à l’art. 5C LPFC et reprise pour les PCC à l’art. 24 al. 1 LPCC et - par le biais d’un renvoi par analogie audit art. 25 LPGA -.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Sylvie PÉTREMAND, in CR-LPGA, n. 27 ss ad art. 25). Il ne fait pas de doute et n’est à vrai dire pas contesté par l'intéressée elle-même que les éléments précités du revenu déterminant de la recourante représentaient des faits nouveaux importants, que l’intimé a découverts après que ses décisions allouant les prestations considérées avaient été prises et étaient entrées en force, et qu’ils appelaient une révision desdites décisions. Au demeurant, ces décisions-ci étaient manifestement erronées en tant qu’elles ne tenaient pas compte de ces éléments entrant dans la composition du revenu déterminant le droit à des prestations complémentaires, et leur rectification revêtait une importance notable, au point que l’intimé était en droit de les reconsidérer. Le fait que la recourante ait été représentée à l'époque, en cours de procédure de révision périodique, n'y change rien, car les actes du mandataire sont opposables au</w:t>
      </w:r>
    </w:p>
    <w:p>
      <w:r>
        <w:t>A/1476/2019 - 19/24 - mandant, d'une part; d'autre part, les éléments produits par le mandataire, et les déductions qu'il en a faites, soit que la bénéficiaire n'était pas et/ou n'aurait pas dû être considérée comme propriétaire de biens immobiliers au Portugal au motif qu'elle n'aurait jamais été successible ou héritière instituée de M. C_______, et que tout ceci proviendrait d'une erreur du notaire, - jamais admise ni démontrée-, étaient manifestement erronées comme on le verra ci-dessous. Et c'est sur cette base que le SPC avait notamment été conduit à rendre les décisions sur lesquelles il est revenu dans le cadre de la présente procédure. Cela ne change rien au fait que la recourante ne pouvait ignorer qu'elle était devenue propriétaire du/des biens immobiliers, objet(s) du litige, dans le cadre de la succession de son propre père, et non pas par erreur du notaire ayant instrumenté le partage de la succession de M. C_______. Du reste, c'est bien ainsi qu'elle l'avait compris, lors du dépôt de sa demande de prestations complémentaires initiale (en 1999), puisqu'elle avait dûment déclaré ce(s) bien(s), à l'époque.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n’est pas contesté ni contestable qu’en rendant ses décisions initiales envoyées le 5 juillet 2018, confirmées par la décision attaquée, l’intimé a agi dans le délai d’une année à compter du moment où il a su de façon suffisante (en l'espèce dès le moment où il a reçu - le 29 mars 2018 - la copie de l'acte de donation de l'immeuble litigieux par la bénéficiaire à son fils le 7 février 2017) que la recourante avait perçu des prestations indûment, et donc qu’il a respecté le délai relatif de péremption d’un an.</w:t>
      </w:r>
    </w:p>
    <w:p>
      <w:r>
        <w:rPr>
          <w:b/>
        </w:rPr>
        <w:t>E. 7</w:t>
      </w:r>
    </w:p>
    <w:p>
      <w:r>
        <w:t>La question est dès lors de savoir si les prestations complémentaires versées à tort à la recourante dès juin 2012 l’ont été à la suite et en raison d’une infraction pénale. a. L’infraction visée à l’art. 31 al. 1 LPC consiste en l’obtention du paiement de prestations complémentaires par des indications trompeuses, et donc celle visée à l’art. 92 let. b de la loi fédérale sur l'assurance-maladie du 18 mars 1994 (LAMal - RS 832.10) à obtenir le versement indu de subsides d’assurance-maladie « par des indications fausses ou incomplètes ou de toute autre manière ». Cette infraction est réalisée lors du premier paiement de la prestation considérée. C’est à ce moment que tous les éléments objectifs et subjectifs sont réalisés (ATF 138 V 74 consid. 5.1).</w:t>
      </w:r>
    </w:p>
    <w:p>
      <w:r>
        <w:t>A/1476/2019 - 20/24 - Sur le plan subjectif, l'art. 31 al. 1 LPC, donc aussi l’art. 92 let. b LAMal, supposent un agissement intentionnel de l'auteur. Il convient donc d'examiner s'il a agi avec conscience et volonté. L'auteur agit déjà intentionnellement lorsqu'il tient pour possible la réalisation de l'infraction et l'accepte au cas où elle se produirait (art. 12 al. 1 et 2 du Code pénal suisse du 21 décembre 1937 [CP - RS 311.0]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actes concluants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Les indications écrites fournies chaque année à un titulaire de prestations complémentaires relatives à l'obligation de communiquer tout changement de</w:t>
      </w:r>
    </w:p>
    <w:p>
      <w:r>
        <w:t>A/1476/2019 - 21/24 -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b. 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Même s’il ne l’a indiqué ni dans la décision attaquée, ni dans son mémoire de réponse, l’intimé considère que doit en l’espèce s’appliquer le délai de prescription plus long que celui de cinq ans, à savoir celui de sept ans, qui est celui de la prescription de l’action pénale des infractions passibles d’une peine privative de liberté de moins de trois ans (art. 97 al. 1 let. d CP).</w:t>
      </w:r>
    </w:p>
    <w:p>
      <w:r>
        <w:t>A/1476/2019 - 22/24 -</w:t>
      </w:r>
    </w:p>
    <w:p>
      <w:r>
        <w:rPr>
          <w:b/>
        </w:rPr>
        <w:t>E. 8</w:t>
      </w:r>
    </w:p>
    <w:p>
      <w:r>
        <w:t>En l'espèce, on rappellera que le litige porte sur la prise en compte dans les plans de calcul de l'intimé du bien immobilier composé d'une petite habitation de 16 m², avec une dépendance de 20 m2 et terrain agricole attenant (le bâtiment art. 6_______ et dépendances et le bien-fonds rural art. 5_______ au lieu-dit de H_______, commune de Sapardos, municipalité de Vila Nova de Cerveira), pour la période du 1er juin 2012 au 31 mars 2018 (immeubles donnés par la recourante à son fils le 7 février 2017), et la demande de restitution du montant de CHF 6'524.-, représentant le montant des prestations complémentaires versées en trop, en raison de la prise en compte a posteriori de ce bien immobilier pour la période litigieuse. Selon les explications de la recourante et de son fils, à l'époque, M. C_______ et les parents de la recourante avaient en commun une maison (bâtiment principal) dont le premier nommé et la mère de la recourante étaient chacun propriétaire de la moitié de l'ensemble, comprenant en outre des dépendances et terrains agricoles. En plus de ces personnes qui habitaient les lieux, la recourante habitait dans une annexe au bâtiment principal, soit précisément l'objet du litige. Il ressort du dossier les éléments suivants : a. En date du 5 mai 1977, M. C_______ avait établi un testament, n'ayant pas de descendants ni d'ascendants vivants. Il avait alors décidé de répartir ses biens situés à peu près au même endroit de la manière suivante : - il laissait à sa sœur, célibataire, un terrain agricole; - il désignait comme héritière unique et universelle du reste de sa succession la mère de la recourante, veuve, avec la clause qu'après le décès de cette dernière, ces mêmes biens seraient attribués, en commun et en parts égales, aux petits- enfants de la défunte (qui étaient tous mineurs à l'époque du testament), soit d'une part le fils et la fille de la recourante, et d'autre part leurs cousins. Ce testament ne mentionnait pas le nom de la recourante, mais ne mentionnait pas non plus le détail des biens dont le testateur était propriétaire. M. C_______ est décédé le 25 mars 1982. b. Il ressort du dossier (annexe à pièce 140) que le 19 juillet 1983, le bureau du registre foncier de Vila Nova de Cerveira a enregistré la recourante en tant que propriétaire de l'immeuble litigieux et de ses dépendances, dans le cadre de la succession de son père, M. G_______. Cette origine de propriété est également décrite dans l'extrait du registre foncier produit par le fils de la recourante après son audition par la chambre de céans. c. La mère de la recourante est pour sa part décédée le 10 janvier 1989. Selon les explications du fils de la recourante, au moment du décès de la mère de cette dernière, celle-ci a hérité d'une partie des biens de sa mère, qu'elle a vendus pour 7'000.- Escudos à ses neveux mentionnés dans le testament de M. C_______; ceci dans le cadre de la répartition réalisée d'entente entre tous, de manière à regrouper les biens de chacune des deux branches familiales.</w:t>
      </w:r>
    </w:p>
    <w:p>
      <w:r>
        <w:t>A/1476/2019 - 23/24 -</w:t>
      </w:r>
    </w:p>
    <w:p>
      <w:r>
        <w:rPr>
          <w:b/>
        </w:rPr>
        <w:t>E. 9</w:t>
      </w:r>
    </w:p>
    <w:p>
      <w:r>
        <w:t>Lors de son audition par la chambre de céans, le fils de la recourante a insisté sur la complexité de la situation juridique des immeubles entrant en ligne de compte en l'espèce, et un prétendu flou dans la gestion administrative au Portugal des biens immobiliers, et notamment dans leur transcription dans les registres officiels, ce qui, après une modification législative imposant aux intéressés de régulariser la situation des immeubles au registre foncier, avait conduit tous les protagonistes à se mettre tous ensemble d'accord sur la répartition de ces biens immobiliers, quitte à le faire différemment des dispositions testamentaires de M. C_______. Il affirmait encore que sa mère aurait été usufruitière de ces biens litigieux par suite du testament de M. C_______, ce qui est contredit par les pièces pertinentes du dossier. La question avait été soulevée de savoir comment la recourante, si elle n'avait été qu'usufruitière du/des biens litigieux, aurait pu en faire donation à son fils en février 2017. En réalité, il n'en est rien. En effet, parmi les documents produits par le fils de la recourante, après l'audience de comparution personnelle, figure précisément une fiche descriptive du bureau du registre foncier de Vila Nova de Cerveira décrivant l'origine de propriété des biens litigieux : la recourante avait acquis ces biens dans le cadre du partage de la succession de son père, le 19 juillet 1983, et elle en avait fait donation à son fils par acte enregistré le 7 février 2017.</w:t>
      </w:r>
    </w:p>
    <w:p>
      <w:r>
        <w:rPr>
          <w:b/>
        </w:rPr>
        <w:t>E. 10</w:t>
      </w:r>
    </w:p>
    <w:p>
      <w:r>
        <w:t>Au vu de ce qui précède, la recourante ne pouvait pas, en 2012, soutenir au SPC qu'elle n'était plus propriétaire de biens immobiliers au Portugal, en violation de son obligation de renseigner. Ainsi, c'est à juste titre que l'intimé a repris ses calculs dès la date d'effet (1er juin 2012) de la nouvelle demande de prestations, consécutive à la décision de suppression de prestations, prise par le SPC en raison du fait que l'intéressée, malgré les rappels et mises en demeure, n'avait pas fourni les renseignements nécessaires en temps utile. Il est vrai que formellement, la période litigieuse s'étendant jusqu'au 31 mars 2018, le SPC aurait dû, pour la période du 8 février 2017 (lendemain de la donation des biens immobiliers litigieux) au 31 mars 2018, prendre en compte le bien litigieux au titre de biens dessaisis, mais le résultat eut été le même.</w:t>
      </w:r>
    </w:p>
    <w:p>
      <w:r>
        <w:rPr>
          <w:b/>
        </w:rPr>
        <w:t>E. 11</w:t>
      </w:r>
    </w:p>
    <w:p>
      <w:r>
        <w:t>Il résulte de ce qui précède que le recours est totalement mal fondé; il sera donc rejeté.</w:t>
      </w:r>
    </w:p>
    <w:p>
      <w:r>
        <w:rPr>
          <w:b/>
        </w:rPr>
        <w:t>E. 12</w:t>
      </w:r>
    </w:p>
    <w:p>
      <w:r>
        <w:t>Pour le surplus, la procédure est gratuite.</w:t>
      </w:r>
    </w:p>
    <w:p>
      <w:r>
        <w:t>A/1476/2019 - 24/24 -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