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ATAS/673/2019 vom 23. Juli 2019</w:t>
      </w:r>
    </w:p>
    <w:p>
      <w:r>
        <w:t>GE Cour de justice, 2019-07-23, FR</w:t>
      </w:r>
    </w:p>
    <w:p>
      <w:r>
        <w:rPr>
          <w:b/>
        </w:rPr>
        <w:t xml:space="preserve">Quelle: </w:t>
      </w:r>
      <w:r>
        <w:t>https://mcp.opencaselaw.ch/entscheid/ge_gerichte_ATAS_673_2019</w:t>
      </w:r>
    </w:p>
    <w:p>
      <w:r>
        <w:t>FR: GE_GERICHTE ATAS/673/2019 du 23 juillet 2019</w:t>
      </w:r>
    </w:p>
    <w:p>
      <w:r>
        <w:t>IT: GE_GERICHTE ATAS/673/2019 del 23 luglio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60 al. 1 LPGA; art. 62 al. 1 let. a de la loi sur la procédure administrative du 12 septembre 1985 [LPA - E 5 10]). Le délai de recours court dès le lendemain de la notification de la décision (art. 62 al. 3 LPA et dans le même sens art. 38 al. 1 LPGA). Interjeté dans la forme et le délai prévus par la loi, le recours est recevable (art. 56 ss LPGA et 62 ss LPA).</w:t>
      </w:r>
    </w:p>
    <w:p>
      <w:r>
        <w:t>A/3289/2018 - 10/29 -</w:t>
      </w:r>
    </w:p>
    <w:p>
      <w:r>
        <w:rPr>
          <w:b/>
        </w:rPr>
        <w:t>E. 4</w:t>
      </w:r>
    </w:p>
    <w:p>
      <w:r>
        <w:t>Le litige consiste à déterminer si c’est à bon droit que l’intimé a rejeté la nouvelle demande de prestations, plus particulièrement s’il existe une modification sensible de l’état de santé du recourant et/ou de ses conséquences sur sa capacité de gain depuis la décision du 4 juin 2010.</w:t>
      </w:r>
    </w:p>
    <w:p>
      <w:r>
        <w:rPr>
          <w:b/>
        </w:rPr>
        <w:t>E. 5</w:t>
      </w:r>
    </w:p>
    <w:p>
      <w:r>
        <w:t>a. Dans un premier grief de nature formelle, le recourant invoque une violation de son droit d’être entendu (art. 29 al. 2 de la Constitution fédérale de la Confédération suisse du 18 avril 1999 [Cst.; RS 101]). Le droit d’être entendu étant une garantie constitutionnelle de caractère formel, dont la violation est susceptible d’entraîner l’annulation de la décision attaquée indépendamment des chances de succès du recourant sur le fond (ATF 127 V 431 consid. 3d/aa; ATF 126 V 130 consid. 2b et les arrêts cités), il convient d’examiner ce grief à titre préalable. b. Aux termes de l’art. 42 LPGA, les parties ont le droit d'être entendues. Il n'est pas nécessaire de les entendre avant une décision sujette à opposition. L'art. 29 al. 2 Cst. garantit aux parties à une procédure judiciaire ou administrative le droit d'être entendues. La jurisprudence en a déduit, en particulier, le droit d'obtenir une décision motivée. Le destinataire de la décision et toute personne intéressée doivent pouvoir la comprendre et l'attaquer utilement en connaissance de cause s'il y a lieu, et l'instance de recours doit pouvoir exercer pleinement son contrôle si elle est saisie (ATF 129 I 232 consid. 3.2; ATF 126 I 15 consid. 2a/aa).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138 I 232 consid. 5.1 et les références).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(ATF 141 V 557 consid. 3.2.1). La motivation d'une décision est suffisante lorsque l'intéressé est mis en mesure d'en apprécier la portée et de la déférer à une instance supérieure en pleine connaissance de cause (ATF 122 IV 14 consid. 2c). c.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ATF 126 V 131 consid. 2b et les références).</w:t>
      </w:r>
    </w:p>
    <w:p>
      <w:r>
        <w:rPr>
          <w:b/>
        </w:rPr>
        <w:t>E. 6</w:t>
      </w:r>
    </w:p>
    <w:p>
      <w:r>
        <w:t>En l’espèce, dans sa décision du 16 août 2018, l’intimé rejette la demande au motif que le recourant ne présente pas d’atteinte à la santé au sens de l’assurance-</w:t>
      </w:r>
    </w:p>
    <w:p>
      <w:r>
        <w:t>A/3289/2018 - 11/29 - invalidité dès lors que sa capacité de travail est entière dans toute activité qui respecte ses limitations fonctionnelles. Il se réfère à cet égard à l’appréciation du SMR. Bien que le rapport d’expertise du Prof. I______ diagnostique des troubles psychiques et retienne une incapacité de travail entière dans toute activité professionnelle jusqu’à la date de l’expertise, l’intimé ne prend toutefois pas la peine d’expliquer dans sa décision pourquoi ce rapport ne lui permet pas d’admettre l’existence d’une atteinte à la santé au sens de l’assurance-invalidité. Si une telle motivation est lacunaire dès lors qu’elle ne donne aucune explication sur les raisons pour lesquelles l’intimé n’a pas suivi les conclusions de l’expertise qu’il a mise en œuvre, elle n’a toutefois pas empêché le recourant d’interjeter utilement un recours en faisant notamment grief à l’intimé de s’écarter des conclusions de l’expertise. Par conséquent, ce grief n’est pas fondé.</w:t>
      </w:r>
    </w:p>
    <w:p>
      <w:r>
        <w:rPr>
          <w:b/>
        </w:rPr>
        <w:t>E. 7</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w:t>
      </w:r>
    </w:p>
    <w:p>
      <w:r>
        <w:t>A/3289/2018 - 12/29 -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8</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412 consid. 2b et ATF 117 V 198 consid. 4b ainsi que les références).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arrêt du Tribunal fédéral 9C_67/2009 du 22 octobre 2009 consid. 1.2). Le juge ne doit examiner comment l'administration a tranché la question de l'entrée en matière que lorsque ce point est litigieux, c'est-à- 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w:t>
      </w:r>
    </w:p>
    <w:p>
      <w:r>
        <w:rPr>
          <w:b/>
        </w:rPr>
        <w:t>E. 9</w:t>
      </w:r>
    </w:p>
    <w:p>
      <w:r>
        <w:t>En l’espèce, l’intimé est entré en matière sur la nouvelle demande de prestations, au motif que le recourant avait rendu plausible une modification de son invalidité depuis la décision du 4 juin 2010, et a procédé à l’instruction de la nouvelle demande. Dans la mesure où il a rejeté celle-ci, il a considéré que l’état de santé du recourant, respectivement son incidence sur sa capacité de gain ne s’étaient pas aggravés depuis la décision entrée en force et que le degré d’invalidité n’avait donc pas changé. Par conséquent, il y a lieu de vérifier si tel est le cas.</w:t>
      </w:r>
    </w:p>
    <w:p>
      <w:r>
        <w:t>A/3289/2018 - 13/29 -</w:t>
      </w:r>
    </w:p>
    <w:p>
      <w:r>
        <w:rPr>
          <w:b/>
        </w:rPr>
        <w:t>E. 10</w:t>
      </w:r>
    </w:p>
    <w:p>
      <w:r>
        <w:t>a.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Si l’administration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arrêt du Tribunal fédéral 9C_721/2014 du 16 juin 2015 consid. 3.1).</w:t>
      </w:r>
    </w:p>
    <w:p>
      <w:r>
        <w:rPr>
          <w:b/>
        </w:rPr>
        <w:t>E. 11</w:t>
      </w:r>
    </w:p>
    <w:p>
      <w:r>
        <w:t>En l’occurrence, à l’époque de la décision de refus de rente du 4 juin 2010, l’intimé avait refusé de reconnaître le recourant invalide au motif que l’affection</w:t>
      </w:r>
    </w:p>
    <w:p>
      <w:r>
        <w:t>A/3289/2018 - 14/29 - psychiatrique ne justifiait aucune incapacité durable et que théoriquement sa capacité de travail était entière dans toute activité professionnelle depuis toujours. Cette décision se basait notamment sur l’expertise du Dr E______ du 29 mars 2010. Les diagnostics posés à l’époque d’une part avec effet incapacitant, étaient ceux de trouble de l’adaptation avec réaction dépressive prolongée, et d’autre part sans effet incapacitant, de personnalité avec traits narcissiques, histrioniques et émotionnellement immatures accentués. L’expert avait retenu que les symptômes du trouble de l’adaptation avec réaction dépressive prolongée s’étaient installés suite à la séparation du recourant à la fin 2008 et étaient à l’origine d’une incapacité de travail entière dès le 1er avril 2009. Le facteur de stress principal consistait en des conflits répétitifs avec son épouse et la demande de séparation inattendue, auxquels s’étaient ajoutés des soucis financiers. Les conséquences psychosociales de ces facteurs de stress persistaient sous la forme d’une grande incertitude quant à l’avenir professionnel privé, ainsi que des soucis financiers de plus en plus graves. L’état psychique était encore marqué par une symptomatologie anxio-dépressive plutôt légère à moyenne au maximum, de sorte qu’une reprise de l’emploi était de nouveau exigible au moins à 50% à partir du 1er avril 2010, puis à 100% dès le 1er juin 2010 au plus tard. À la suite de la nouvelle demande du 24 novembre 2016 et de la réception d’un rapport de la consultation de la mémoire des HUG du 13 janvier 2017 qui constatait un foetor alcoolique, un probable syndrome sérotoninergique et des probables effets secondaires d’un des anti-dépresseurs, l’intimé est entré en matière sur la nouvelle demande et a procédé à l’instruction de celle-ci. Il a mis en œuvre une expertise auprès du Prof. I______. Le recourant reconnaît une pleine valeur probante à ce rapport d’expertise. Quant à l’intimé, il semble considérer qu’il a valeur probante quant aux constatations cliniques et aux diagnostics posés, mais conteste ses conclusions quant à la capacité de travail. Par conséquent, il convient d’abord de déterminer si ladite expertise a une valeur probante.</w:t>
      </w:r>
    </w:p>
    <w:p>
      <w:r>
        <w:rPr>
          <w:b/>
        </w:rPr>
        <w:t>E. 12</w:t>
      </w:r>
    </w:p>
    <w:p>
      <w:r>
        <w:t>mars 2018 consid 2.1).</w:t>
      </w:r>
    </w:p>
    <w:p>
      <w:r>
        <w:rPr>
          <w:b/>
        </w:rPr>
        <w:t>E. 13</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14</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w:t>
      </w:r>
    </w:p>
    <w:p>
      <w:r>
        <w:t>A/3289/2018 - 18/29 -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w:t>
      </w:r>
    </w:p>
    <w:p>
      <w:r>
        <w:t>A/3289/2018 - 19/29 -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Tribunal fédéral 9C_58/2011 du 25 mars 2011 consid. 3.3).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A/3289/2018 - 20/29 - violation du principe mentionné (arrêt du Tribunal fédéral 9C_973/2011 du 4 mai 2012 consid. 3.2.1).</w:t>
      </w:r>
    </w:p>
    <w:p>
      <w:r>
        <w:rPr>
          <w:b/>
        </w:rPr>
        <w:t>E. 15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16</w:t>
      </w:r>
    </w:p>
    <w:p>
      <w:r>
        <w:t>En l’espèce, dans son rapport du 6 avril 2018, l’expert diagnostique avec incidence sur la capacité de travail, une neurasthénie (F 48.0) dès 2008 et une dysthymie (F 34.1) dès 2008. Il retient une capacité de travail nulle tant dans l’activité habituelle que dans une activité adaptée jusqu’à la date de l’expertise. Dès celle-ci et dans une activité adaptée, à savoir une activité simple, sans stress et sans lien avec la formation de comptable, il admet une capacité de travail de 50%, puis de 100% progressivement au bout de six à douze mois. Il motive les diagnostics posés en fonction des éléments cliniques qu’il a mis en évidence, à savoir un mal-être diffus avec un sentiment d’impasse existentielle, une thymie triste, une vision pessimiste de l’avenir avec résignation et prédiction d’échec face à toute tentative de changement, ainsi qu’un sentiment de dévalorisation. Il précise que les diagnostics retenus correspondent à l’installation d’une symptomatologie chronique associant tristesse, vision pessimiste, passivité et multiples plaintes somatiques, caractérisée principalement par l’absence de motivation, la diminution des capacités de coping et la tendance au repli. Il explique que le recourant, qui a de faibles capacités de résilience, a présenté un épisode dépressif avec certains symptômes typiques de neurasthénie ayant commencé à se mettre en place avant le divorce en raison de la perte de son emploi et d’une réinsertion dans un métier qu’il investit peu car il reste attaché à son métier de carrossier. Cette situation s’est aggravée par la suite à cause de la cassure provoquée par son divorce. Par conséquent, il établit clairement une péjoration du tableau clinique depuis l’expertise de 2010 eu égard à la chronification de la symptomatologie et à la cassure intervenue suite au divorce du recourant en décembre 2013. En définitive, l’expert a tenu compte des plaintes du recourant, établi une anamnèse et statué en prenant en considération les pièces du dossier médical, de sorte que son rapport d’expertise remplit les conditions formelles permettant de lui reconnaître une valeur probante. En outre, il n’existe pas de contradictions, d’éléments qu’il aurait omis de prendre en compte, de rapports contraires motivés des divers médecins du recourant, de sorte qu’il remplit également les conditions matérielles à</w:t>
      </w:r>
    </w:p>
    <w:p>
      <w:r>
        <w:t>A/3289/2018 - 21/29 - cet effet. De plus, son rapport permet d’évaluer, au regard des nouveaux principes applicables en la matière, la pertinence des diagnostics de dysthymie et d’asthénie ainsi que leur caractère invalidant.</w:t>
      </w:r>
    </w:p>
    <w:p>
      <w:r>
        <w:rPr>
          <w:b/>
        </w:rPr>
        <w:t>E. 17</w:t>
      </w:r>
    </w:p>
    <w:p>
      <w:r>
        <w:t>Le recourant souffre de troubles psychiques, de sorte qu’il y a lieu d’examiner la limitation de sa capacité de travail à la lumière des indicateurs définis par la jurisprudence. a. L’expert donne des indications sur le degré de gravité des symptômes et des limitations fonctionnelles inhérents à son diagnostic en expliquant concrètement la nature de ceux-ci, à savoir notamment qu’il s’agit de l’évolution séquellaire d’un épisode dépressif chez un homme aux faibles capacités de résilience, sans antécédents psychiatriques jusqu’à la réinsertion dans un métier qu’il n’investissait pas et qui a induit un malaise existentiel avec certains des symptômes typiques de la neurasthénie avant la cassure provoquée par son divorce entraînant une chronification de la symptomatologie. Sous l’angle de l’indicateur « comorbidités », il relève une association d’une neurasthénie et d’une dysthymie. Il explique que la perte du métier de carrossier a représenté la première blessure narcissique jamais réellement dépassée, puis que le divorce a provoqué une cassure. S’agissant du succès du traitement, l’expert reconnaît que la thérapie a été adéquate pour gérer les symptômes dépressifs après le divorce, que le recourant a bien adhéré aux traitements proposés, ce qui lui a permis de retrouver son fonctionnement antérieur au divorce, et qu’il y a une chronicisation de la symptomatologie. L’expert précise toutefois que le suivi actuel de soutien est de peu d’utilité à un rythme si espacé. À cet égard, il y a lieu de relever que cette réserve concerne le soutien psychothérapeutique et non pas le traitement à proprement parler. S’agissant de la réadaptation professionnelle, le recourant a suivi de telles mesures du 1er septembre 2000 au 31 août 2003 qui lui ont permis d’obtenir un CFC d’employé de commerce. Toutefois, il ressort de l’expertise qu’il n’a pas fait le deuil de son activité de carrossier. Dès lors, il n’y a pas de résistance du recourant à l’égard de la réadaptation. En définitive, au vu de la chronicisation de la symptomatologie, il faut admettre un échec de tous les traitements conformes aux règles de l’art, en dépit d'une coopération optimale. Quant à l’appréciation des ressources personnelles du recourant, si l’expert relève certes l’absence d’arguments en faveur d’un trouble de la personnalité, il retient toutefois de faibles capacités de résilience, une vulnérabilité narcissique bien présente, notamment un Moi en retrait, une impossibilité qui concerne tant la mobilisation des capacités de résilience que la révolte contre un sort injuste. Il n’y a pas d’activation des défenses archaïques et le recourant reste passif, n’envisageant aucune modification du cours de sa vie. La représentation du Self est celle d’un homme abimé par la perte de son emploi et par son divorce. S’agissant du contexte social, l’expert indique qu’après avoir perdu plusieurs amis après son divorce, le recourant est arrivé à se recréer un cercle de connaissances et a</w:t>
      </w:r>
    </w:p>
    <w:p>
      <w:r>
        <w:t>A/3289/2018 - 22/29 - des aventures sentimentales de temps à autre. Il n’a aucune activité structurée, mais garde des contacts sociaux, sans repli significatif, et mène une vie ritualisée en investissant le lien avec ses filles. Toutefois, dans son rapport du 14 août 2017, la Dresse H______ relève au contraire que le recourant est très isolé socialement. Étant donné que celui-ci est suivi par le CAPPI de la Servette depuis octobre 2012 et par la Dresse H______ depuis le 1er novembre 2016, il y a lieu de privilégier les observations faites sur la durée par celle-ci par rapport à celles de l’expert. Par conséquent, il convient de retenir un retrait social marqué. Quant à la cohérence, l’expert considère que les renseignements obtenus, les éléments anamnestiques et les observations cliniques soutiennent les diagnostics de dysthymie et de neurasthénie. Sont également présents des traits démonstratifs et une fragilité narcissique qui ne sont toutefois pas suffisants pour retenir un trouble de la personnalité quelconque. Par ailleurs, dans son rapport du 14 août 2017, la Dresse H______ relève que le recourant a des difficultés à se tenir à jour avec les démarches administratives et qu’il se laisse submerger par celles-ci, ce qui dénote une limitation uniforme des activités dans tous les domaines de la vie. Dès lors, au vu de ces divers éléments, le rapport d’expertise permet d’admettre, au regard des nouveaux principes applicables en la matière, la pertinence des diagnostics de dysthymie et de neurasthénie ainsi que leur caractère invalidant. b. Dans son rapport du 29 mai 2018, le SMR considère que l’intensité des symptômes ne justifie pas d’incapacité de travail et qu’au regard des indicateurs jurisprudentiels, le recourant ne présente pas de retrait social, a de bonnes ressources externes de sorte qu’il devrait pouvoir mobiliser ses ressources internes. Il conclut à une capacité de travail entière dans une activité sédentaire de type administratif en respectant les limitations fonctionnelles d’épargne du rachis. Si effectivement, les diagnostics de neurasthénie et de dysthymie en eux-mêmes ne sont en principe pas incapacitants, l’expert précise bien que c’est leur interaction qui entraîne un effet incapacitant, à savoir l’évolution séquellaire d’un épisode dépressif chez un homme aux faibles capacités de résilience, après une réinsertion dans un métier qu’il n’investissait pas et qui a induit un malaise existentiel avec certains des symptômes typiques de la neurasthénie, avant la cassure provoquée par son divorce entraînant une chronification de la symptomatologie. De plus, l’expert donne certaines informations sur l’autoperception du recourant (sentiments d’impasse existentielle et de dévalorisation), son contrôle de la réalité et sa formation du jugement (vision pessimiste de l’avenir avec résignation et absence de révolte contre un sort injuste), ainsi que son contrôle des affects (faibles capacités de résilience) qui confirment le caractère incapacitant de l’interaction des diagnostics posés. S’agissant des indicateurs jurisprudentiels, l’expert mentionne le maintien de contacts sociaux, soit une appréciation qui ne correspond pas au rapport du CAPPI du 14 août 2017 qui fait état d’un grand isolement social. Par conséquent, contrairement à ce que soutient le SMR, il n’est pas établi que le recourant ne présente pas de retrait social. Quant aux ressources internes que le</w:t>
      </w:r>
    </w:p>
    <w:p>
      <w:r>
        <w:t>A/3289/2018 - 23/29 - recourant devrait pouvoir mobiliser parce qu’il a de bonnes ressources externes, le SMR passe sous silence les faibles capacités de résilience du recourant qui précisément entravent ses ressources internes. Dès lors, l’appréciation du SMR du 29 mai 2018 n’a pas de valeur probante puisqu’elle repose sur des éléments non pertinents et n’est pas susceptible de faire douter de la valeur probante du rapport d’expertise. c. L’intimé soutient que l’état de santé du recourant est très largement influencé par des facteurs psychosociaux. Il est vrai que, selon l’expert, la perte du métier de carrossier a représenté la première blessure narcissique, qui n’a jamais réellement été dépassée, et qui a été suivie du divorce ayant provoqué une cassure. L’intimé perd toutefois de vue que l’expert fait également état de l’installation d’une symptomatologie chronique associant tristesse, vision pessimiste, passivité due à l’association d’une neurasthénie et d’une dysthymie. Il mentionne ainsi bel et bien des atteintes psychiques, même si une blessure narcissique a eu lieu à la suite de son licenciement et de l’abandon de la profession de carrossier et qu’une cassure s’est produite à la suite du divorce, étant précisé que chez une personne ne présentant pas un tel trait de personnalité narcissique avec interaction des deux troubles psychiques, la perte de travail et le divorce n’aurait pas provoqué l’installation d’une telle symptomatologie chronique. L’intimé voit une contradiction dans le fait que l’expert retienne une incapacité de travail de 50% au jour de l’expertise, passant à 100% dans un laps de temps de six à douze mois sans modification des atteintes. Il est vrai que l’expert ne donne pas d’explications à ce sujet, toutefois, il précise que le recourant se considère dans une impasse existentielle avec prédiction d’échec face à toute tentative de changement et sentiment de dévalorisation. Par conséquent, on comprend des constats de l’expert qu’il convient de bien consolider les premières expériences de retour au travail et de débuter une réadaptation progressivement à 50%, avant d’arriver à un temps plein d’ici six à douze mois. En définitive, la chambre de céans suivra les conclusions de l’expertise du Prof. I______, à savoir que le recourant présente une capacité de travail nulle dans son activité habituelle de comptable et une capacité de travail au jour de l’expertise de 50% dans une activité adaptée, à savoir une activité simple, sans stress et sans lien avec la formation de comptable, enfin de 100% progressivement au bout de six à douze mois. Autrement dit, et contrairement à ce que soutient l’intimé, l’état de santé du recourant s’est aggravé depuis la décision du 4 juin 2010, de même que l’incidence de celui-ci sur sa capacité de travail.</w:t>
      </w:r>
    </w:p>
    <w:p>
      <w:r>
        <w:rPr>
          <w:b/>
        </w:rPr>
        <w:t>E. 18</w:t>
      </w:r>
    </w:p>
    <w:p>
      <w:r>
        <w:t>Il reste à déterminer quel est le degré d’invalidité du recourant depuis la nouvelle demande du 24 novembre 2016, étant précisé que l’expert retient une incapacité de travail de 100% dans l’activité habituelle depuis une période non datée précisément, mais qui remonte à la cassure provoquée par son divorce en janvier 2013 et que la Dresse H______ fixe ce moment au début du suivi en octobre 2012.</w:t>
      </w:r>
    </w:p>
    <w:p>
      <w:r>
        <w:t>A/3289/2018 - 24/29 -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l'Enquête suisse sur la structure des salaires 2016 (ESS)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w:t>
      </w:r>
    </w:p>
    <w:p>
      <w:r>
        <w:t>A/3289/2018 - 25/29 -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w:t>
      </w:r>
    </w:p>
    <w:p>
      <w:r>
        <w:rPr>
          <w:b/>
        </w:rPr>
        <w:t>E. 22</w:t>
      </w:r>
    </w:p>
    <w:p>
      <w:r>
        <w:t>mars 2017 consid. 3.2). d.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w:t>
      </w:r>
    </w:p>
    <w:p>
      <w:r>
        <w:t>A/3289/2018 - 26/29 -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 en force se doit d'avoir une certaine stabilité (arrêt du Tribunal fédéral 9C_1022/2012 du 16 mai 2013 consid. 3.2). En règle générale, pour examiner s'il y a lieu de réduire ou de supprimer la rente immédiatement ou après trois mois, il faut examiner pour le futur si l'amélioration de la capacité de gain peut être considérée comme durable (arrêt du Tribunal fédéral 9C_78/2018 du</w:t>
      </w:r>
    </w:p>
    <w:p>
      <w:r>
        <w:rPr>
          <w:b/>
        </w:rPr>
        <w:t>E. 26</w:t>
      </w:r>
    </w:p>
    <w:p>
      <w:r>
        <w:t>juin 2018 consid. 4.1). Selon la jurisprudence, l'art. 17 LPGA sur la révision d'une rente en cours s'applique également à la décision par laquelle une rente échelonnée dans le temps est accordée avec effet rétroactif –, la date de la modification étant déterminée conformément à l'art. 88a RAI (ATF 131 V 164 consid. 2.2; arrêt du Tribunal fédéral 9C_134/2015 consid. 4.1 et les références). En revanche, l'art. 88bis RAI n'est pas applicable dans cette éventualité, du moment que l'on ne se trouve pas en présence d'une révision de la rente au sens strict (ATF 125 V 413 consid. 2d; arrêt du Tribunal fédéral des assurances I 621/04 du 12 octobre 2005 consid. 3.2). 19. En l’espèce, étant donné que le recourant a déposé une nouvelle demande le 24 novembre 2016, et que son incapacité de travail de 100% remonte à la cassure provoquée par son divorce en janvier 2013, voire en octobre 2012, son droit éventuel à la rente débute après le délai de carence de six mois prévu par l’art. 29 LAI, soit le 1er mai 2017. Toutefois, jusqu’au jour de l’expertise, dans la mesure où l’incapacité de travail est de 100% dans toute activité, le degré d’invalidité se confond avec l’incapacité médico-théorique, de sorte qu’il est de 100% et donne droit au recourant à une rente entière d’invalidité dès le 1er mai 2017. En revanche, la situation est différente dès le rapport d’expertise du 6 avril 2018 puisque l’expert retient dès ce moment-là, une capacité de travail de 50% dans une activité adaptée aux limitations fonctionnelles. Par conséquent, le degré d’invalidité doit être déterminé en comparant les revenus avec et sans invalidité en 2018. Le dernier salaire réalisé par le recourant avant le début de l’incapacité de travail durable est celui de comptable à 40% auprès de J______ SA depuis le 1er février 2008 jusqu’à l’arrêt de travail intervenu le 25 septembre 2008, et à 50% comme</w:t>
      </w:r>
    </w:p>
    <w:p>
      <w:r>
        <w:t>A/3289/2018 - 27/29 - agent fiduciaire auprès de l’Association K______(K______) depuis le 30 octobre 2008 jusqu’à l’arrêt de travail du 1er avril 2009. Toutefois, ces activités n’ont pas été exercées suffisamment longtemps pour que leur rémunération puisse être retenue afin d’établir le revenu sans invalidité. Auparavant et par la suite, le recourant a été au chômage, soit une situation justifiant précisément de s’écarter du dernier salaire effectivement obtenu. À défaut de pouvoir disposer de renseignements concrets fiables sur le revenu qu’aurait pu réaliser le recourant, sans invalidité, au moment de la décision litigieuse, il y a lieu de se référer aux données salariales ressortant de l’ESS (ATF 126 V 76 consid. 3b/bb; arrêt du Tribunal fédéral des assurances I 22/06 du 19 janvier 2007 consid. 3.1). Le recourant ayant travaillé en Suisse en dernier lieu essentiellement dans le domaine de la comptabilité, il convient de se référer au revenu réalisé en 2016 par les hommes exerçant des tâches pratiques complexes (niveau de compétence 3) dans le domaine de la comptabilité et dans le secteur privé, soit CHF 81'144.- par année, compte tenu d’un salaire mensuel de CHF 6'762.- alloué douze fois l’an (tableau TA 1, tirage skill level, ligne 69-71). Adapté selon le tableau T39 à l'évolution des salaires nominaux pour les hommes en 2017 de 0,4% et en 2018 de 0,5%, le revenu sans invalidité ascende à CHF 81'874.30 (81'144 + 730.30). S’agissant du revenu d’invalide, compte tenu de l’activité de substitution dans un emploi adapté, à savoir un travail simple en épargnant le rachis, le salaire de référence est celui auquel peuvent prétendre les hommes effectuant des activités simples et répétitives dans le secteur privé toutes tâches confondues (tableau TA 1, tirage skill level, total, niveau de compétence 2). Il s’élève en 2016 à CHF 67'752.- (5'646 x 12) part au 13ème salaire comprise et, compte tenu de l’évolution des salaires nominaux de 0,9% de 2016 à 2018, à CHF 68'361.75 en 2018 (67’752 + 609.75), respectivement à CHF 34'180.85 avec un taux d’activité à 50%.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En conséquence, il est inutile d’adapter ces chiffres à l'horaire hebdomadaire de travail en 2017 et 2018. S’agissant de l’abattement, d’après le tableau T 18 « Salaire mensuel brut (valeur centrale) selon le taux d’occupation, la position professionnelle et le sexe » de l’ESS 2014, on constate que les travailleurs occupés entre 50% et 74% perçoivent un salaire mensuel de CHF 6'232.- (calculé sur la base d’un taux d’occupation de 100%), soit un salaire moins élevé que celui versé en cas d’emploi à temps plein (taux d’occupation de 90% ou plus), lequel se monte à CHF 6'583.-. Dans la mesure où les statistiques démontrent que les travailleurs occupés entre 50% et 74%</w:t>
      </w:r>
    </w:p>
    <w:p>
      <w:r>
        <w:t>A/3289/2018 - 28/29 - reçoivent un salaire mensuel inférieur de 5,3% à celui versé aux hommes travaillant à temps plein (taux d’occupation de 90% ou plus), il se justifie de procéder à un abattement supplémentaire pour ce motif (cf. arrêt du Tribunal fédéral 9C_10/2019 du 29 avril 2019 consid. 5.2.2). Par ailleurs, le recourant doit également exercer une activité à l’abri du stress, soit une limitation fonctionnelle qui a une influence sur le revenu d’une activité lucrative. Par conséquent, au vu de ces divers éléments, il y a lieu d’appliquer un abattement de 10% et de retenir un revenu d’invalide de CHF 30'762.75 (34'180.85 x 90%). En comparant le revenu sans invalidité de CHF 81'874.30 avec le revenu d’invalide de CHF 30'762.75, le degré d’invalidité s’élève à 62,4% (81'874.30 – 30'762.75 = 51'111.55 : 81'874.30 x 100) et donne droit au recourant à un trois-quarts de rente d’invalidité. Bien que le recourant ait produit divers certificats médicaux attestant d’une incapacité de travail entière du 1er mars 2018 au 30 mars 2019, lesdits certificats ne motivent en rien cette incapacité de travail et le recourant ne prétend pas que son état de santé se serait aggravé depuis le rapport d’expertise du 6 avril 2018. Par conséquent, il faut admettre que l’amélioration de son état de santé, respectivement de sa capacité de travail est durable et stable, de sorte que la rente doit être réduite avec effet immédiat au début du mois suivant l’expertise. Dès lors, en application de l’art. 88a al. 1 RAI, il y a lieu de lui reconnaître le droit à une rente entière d’invalidité du 1er mai 2017 au 30 avril 2018, puis à un trois- quarts de rente dès le 1er mai 2018. En revanche, s’agissant de la capacité de travail entière retenue par le Prof. I______ dans un laps de temps de six à douze mois dès l’expertise, elle suppose que le recourant sorte de son impasse existentielle avec prédiction d’échec face à toute tentative de changement et sentiment de dévalorisation, soit une situation évolutive qui n’est pas susceptible d’entraîner des effets immédiats. Par conséquent, il convient d’appliquer le délai de trois mois de l’art. 88a al.1 RAI et de prendre en compte la situation la plus favorable au recourant, à savoir l’existence d’une capacité de travail entière douze mois après la date de l’expertise, soit dès le 7 avril 2019, de sorte que la rente est supprimée dès le 1er août 2019. En effet, en exerçant une activité adaptée aux limitations fonctionnelles à 100%, le degré d’invalidité du recourant est de 25% (81'874.30 – 61'525.55 = 20'348.75 : 81'874.30 x 100), soit un taux qui ne donne plus droit à une rente d’invalidité. 20. Au vu de ce qui précède, le recours sera admis partiellement et la décision du 16 août 2018 annulée. Le recourant étant représenté par un avocat et obtenant gain de cause, une indemnité de CHF 2'500.- lui sera accordée à titre de participation à ses frais et dépens (art. 61 let. g LPGA; art. 6 du règlement sur les frais, émoluments et indemnités en matière administrative du 30 juillet 1986 [RFPA - E 5 10.03]). Eu égard au sort du recours, il y a lieu de condamner l’intimé au paiement d'un émolument de CHF 200.- (art. 69 al. 1bis LAI).</w:t>
      </w:r>
    </w:p>
    <w:p>
      <w:r>
        <w:t>A/3289/2018 - 29/29 -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