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ATAS/673/2012 vom 16. Mai 2012</w:t>
      </w:r>
    </w:p>
    <w:p>
      <w:r>
        <w:t>GE Cour de justice, 2012-05-16, FR</w:t>
      </w:r>
    </w:p>
    <w:p>
      <w:r>
        <w:rPr>
          <w:b/>
        </w:rPr>
        <w:t xml:space="preserve">Quelle: </w:t>
      </w:r>
      <w:r>
        <w:t>https://mcp.opencaselaw.ch/entscheid/ge_gerichte_ATAS_673_2012</w:t>
      </w:r>
    </w:p>
    <w:p>
      <w:r>
        <w:t>FR: GE_GERICHTE ATAS/673/2012 du 16 mai 2012</w:t>
      </w:r>
    </w:p>
    <w:p>
      <w:r>
        <w:t>IT: GE_GERICHTE ATAS/673/2012 del 16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 et 60 LPGA).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particulier, les dispositions de la novelle du 12 mars 2003 modifiant la LAI (4ème révision), entrées en vigueur le 1er janvier 2004 (RO 2003 3852), et celles de la novelle du 6 octobre 2006 (5ème révision), entrées en vigueur le 1er janvier 2008, sont régies par ce principe. D’autre part, le juge des assurances sociales doit, en règle générale, apprécier la légalité des décisions attaquées d’après l’état de fait existant au moment où la décision litigieuse a été rendue (ATF 121 V 366 consid. 1b et les références citées). En l’occurrence, les dispositions des 4ème et 5ème révision de la LAI sont applicables dans la mesure de leur pertinence.</w:t>
      </w:r>
    </w:p>
    <w:p>
      <w:r>
        <w:rPr>
          <w:b/>
        </w:rPr>
        <w:t>E. 3</w:t>
      </w:r>
    </w:p>
    <w:p>
      <w:r>
        <w:t>L’objet du litige consiste à déterminer si l’intimé est en droit de supprimer la rente entière d’invalidité du recourant durant la période du 1er janvier 2007 au 28 février 2008.</w:t>
      </w:r>
    </w:p>
    <w:p>
      <w:r>
        <w:t>A/3012/2011 - 7/12 -</w:t>
      </w:r>
    </w:p>
    <w:p>
      <w:r>
        <w:rPr>
          <w:b/>
        </w:rPr>
        <w:t>E. 4</w:t>
      </w:r>
    </w:p>
    <w:p>
      <w:r>
        <w:t>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En cas d’allocation d’une rente dégressive ou temporaire, la date de la modification du droit (diminution ou suppression de la rente) doit être fixée conformément à l’art. 88a al. 1 RAI (ATF 125 V 417 consid. 2d).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A/3012/2011 - 8/12 - objectivement que possible (ATF 102 V 165; VSI 2001 p. 224 consid. 2b et les références; cf. aussi ATF 127 V 298 consid. 4c in fine).</w:t>
      </w:r>
    </w:p>
    <w:p>
      <w:r>
        <w:rPr>
          <w:b/>
        </w:rPr>
        <w:t>E. 6</w:t>
      </w:r>
    </w:p>
    <w:p>
      <w:r>
        <w:t>a) Pour pouvoir calculer le degré d'invalidité, l'administration ou l'instance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citées).</w:t>
      </w:r>
    </w:p>
    <w:p>
      <w:r>
        <w:rPr>
          <w:b/>
        </w:rPr>
        <w:t>E. 7</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ATF 124 I 175 consid. 4 et les références citées ; Plaidoyer 6/94 p. 67; ATFA non publié I 39/03 consid. 3.2).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w:t>
      </w:r>
    </w:p>
    <w:p>
      <w:r>
        <w:t>A/3012/2011 - 9/12 - pas un mandat de soins, mais un mandat d’expertise en réponse à des questions posées par des tiers. Il tient compte des affirmations du patient. Il doit parfois s’écarter de l’appréciation plus subjective du médecin traitant.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d) Lorsque, au stade de la procédure administrative, une expertise confiée à un médecin indépendant est établie par un spécialiste reconnu, sur la base d'observations approfondies et d'investigation complètes, ainsi qu'en pleine connaissance du dossier, et que l'expert aboutit à des résultats convaincants, le juge ne saurait les écarter aussi longtemps qu'aucun indice concret ne permet de douter de leur bien-fondé (ATF 125 V 252 consid 3b/bb).</w:t>
      </w:r>
    </w:p>
    <w:p>
      <w:r>
        <w:rPr>
          <w:b/>
        </w:rPr>
        <w:t>E. 8</w:t>
      </w:r>
    </w:p>
    <w:p>
      <w:r>
        <w:t>En l’espèce, l’intimé a mandaté la Dresse G___________ aux fins de réaliser une nouvelle expertise psychiatrique du recourant. Dans son rapport du 14 octobre 2009, l’expert retient les diagnostics de trouble dépressif récurrent, épisode actuel moyen sans syndrome somatique, ainsi que de troubles mixtes de la personnalité, présents depuis que le recourant est jeune adulte. Ces troubles psychiques entraînent des limitations qualitatives et quantitatives, soit un ralentissement psychomoteur, un abaissement de la thymie, une diminution de l’énergie vitale et de la confiance en soi, une difficulté à se fixer sur une tâche et à se concentrer, un vécu par moments persécutoire, une tendance à l’évitement et à l’ «obsessionnalité ». La Cour de céans relève que ces diagnostics ont été posés par tous les spécialistes en psychiatrie ayant examiné le recourant. En revanche, l’expert, à l’instar des Drs E___________ et F___________ des HUG, ne retient pas le diagnostic de trouble bipolaire évoqué par le Dr D___________ dans son rapport du 5 juin 2008, dès lors que dans l’anamnèse, l’on ne retrouve pas d’épisode hypomane ou maniaque. La Dresse G___________ ne retient pas non plus au moment de son expertise le diagnostic d’anxiété généralisée car le recourant ne présente pas de symptômes neurovégétatifs, ni d’anxiété en permanence, mais elle a noté que le seuil anxiogène était abaissé. S’agissant de la répercussion des troubles psychiatriques constatés sur la capacité de travail, si l’incapacité de travail totale depuis le mois de janvier 2004 est unanimement admise par les spécialistes, les avis de l’expert et des médecins</w:t>
      </w:r>
    </w:p>
    <w:p>
      <w:r>
        <w:t>A/3012/2011 - 10/12 - traitants divergent s’agissant de la période courant de septembre 2006 à mars 2008. En effet, pour les médecins traitants (Drs B___________ et D___________), l’incapacité de travail totale a perduré durant cette période, alors que pour l’expert, le recourant a récupéré une capacité de travail totale depuis septembre 2006. La Dresse G___________ explique sa conclusion par la rémission de l’état dépressif entre septembre 2006 à février 2008, la faible médication dispensée durant cette période et l’amélioration constatée en février 2007 par l’expert précédent, le Dr C___________ . Dans son rapport d’expertise du 6 février 2007, le Dr C___________ relevait en effet que le recourant a déclaré avoir noté une amélioration de son état de santé depuis six mois, avec la diminution des ruminations, l’acquisition d’une meilleure confiance en lui et la diminution de la tristesse. Il a ainsi posé le diagnostic de dysthymie ; quant au diagnostic de trouble mixte de la personnalité, le Dr C___________ a expliqué qu’il n’est pas incapacitant en tant que tel, mais qu’il s’est décompensé sur un mode dépressif et anxieux à partir de 2003 et ensuite de manière continue à partir du 1er janvier 2004. Au vu de l’amélioration de l’état dépressif, admise par le recourant lui-même, la Dresse G___________ considère qu’il a récupéré une capacité de travail de 100 % depuis début septembre 2006. En revanche, suite à une rechute en mars 2008, l’incapacité de travail est à nouveau totale.</w:t>
      </w:r>
    </w:p>
    <w:p>
      <w:r>
        <w:t>La Cour de céans constate que le rapport d’expertise de la Dresse G___________ comporte une anamnèse complète et détaillée, que les plaintes sont prises en compte, que le status clinique est minutieusement décrit et l’appréciation du cas explicitée. L’expert se prononce sur l’amélioration de l’état de santé en se fondant sur l’ensemble des documents médicaux figurant au dossier et explique en particulier quels sont les éléments objectifs qui l’amènent à conclure à une récupération de la capacité de travail durant la période considérée. Ses conclusions sont claires et bien motivées. Rien ne permet de remettre en cause les conclusions de l’expertise, qui revêt pleine valeur probante. Le recourant ne fait état d’aucun élément qui aurait été ignoré par l’expert. Par ailleurs, le psychiatre traitant, le Dr D___________, confirme dans son rapport du 4 décembre 2007 la faible médication dispensée à l’époque (Efexor 37,5 mg/jour et Tranxilium 10 mg/jour) dans un but palliatif et non curatif, tout en indiquant que c’est plutôt le trouble de la personnalité qui handicape le recourant. L’amélioration de l’état dépressif s’est poursuivie durant l’année 2007, puisqu’il a abouti à un arrêt du traitement antidépresseur à fin 2007, ainsi que les HUG l’indiquent dans leur rapport du 16 octobre 2008. C’est par conséquent à juste titre que l’intimé a supprimé la rente d’invalidité fin décembre 2006 en application de l’art 88a RAI, dès lors que l’amélioration constatée a duré trois mois consécutifs sans interruption notable, et revalidé la rente entière depuis le 1er mars 2008 en raison de la rechute dépressive bien documentée.</w:t>
      </w:r>
    </w:p>
    <w:p>
      <w:r>
        <w:t>A/3012/2011 - 11/12 -</w:t>
      </w:r>
    </w:p>
    <w:p>
      <w:r>
        <w:rPr>
          <w:b/>
        </w:rPr>
        <w:t>E. 9</w:t>
      </w:r>
    </w:p>
    <w:p>
      <w:r>
        <w:t>Au vu de ce qui précède, mal fondé, le recours doit être rejeté.</w:t>
      </w:r>
    </w:p>
    <w:p>
      <w:r>
        <w:rPr>
          <w:b/>
        </w:rPr>
        <w:t>E. 10</w:t>
      </w:r>
    </w:p>
    <w:p>
      <w:r>
        <w:t>Selon l'art. 61 LPGA, la procédure devant le tribunal cantonal des assurances est gratuite pour les parties (let. a). L'art. 69 al. 1bis LAI (en vigueur depuis le 1er juillet 2006) déroge cependant à cette disposition dans la mesure où il soumet à des frais judiciaires les procédures portant sur des contestations relatives à l'octroi ou au refus de prestations de l'assurance-invalidité. Les frais judiciaires sont généralement mis à la charge de la partie qui succombe, quel que soit le rôle (recourant ou intimé) joué dans la procédure (arrêt du Tribunal fédéral 8C_40/2009 du 13 mars 2009 consid. 3.1 et la référence). En l’occurrence, au vu de l’issue du litige, l’émolument, fixé à 200 fr., est mis à la charge du recourant.</w:t>
      </w:r>
    </w:p>
    <w:p>
      <w:r>
        <w:t>A/3012/2011 - 12/12 -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