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ATAS/673/2008 vom 4. Juni 2008</w:t>
      </w:r>
    </w:p>
    <w:p>
      <w:r>
        <w:t>GE Cour de justice, 2008-06-04, FR</w:t>
      </w:r>
    </w:p>
    <w:p>
      <w:r>
        <w:rPr>
          <w:b/>
        </w:rPr>
        <w:t xml:space="preserve">Quelle: </w:t>
      </w:r>
      <w:r>
        <w:t>https://mcp.opencaselaw.ch/entscheid/ge_gerichte_ATAS_673_2008</w:t>
      </w:r>
    </w:p>
    <w:p>
      <w:r>
        <w:t>FR: GE_GERICHTE ATAS/673/2008 du 4 juin 2008</w:t>
      </w:r>
    </w:p>
    <w:p>
      <w:r>
        <w:t>IT: GE_GERICHTE ATAS/673/2008 del 4 giugno 2008</w:t>
      </w:r>
    </w:p>
    <w:p>
      <w:pPr>
        <w:pStyle w:val="Heading2"/>
      </w:pPr>
      <w:r>
        <w:t>Regeste</w:t>
      </w:r>
    </w:p>
    <w:p>
      <w:r>
        <w:t>Résumé: En l'occurrence, la recourante en matière de prestations complémentaires, est copropriétaire d'une entreprise agricole dont elle ne peut disposer librement en vertu du droit foncier rural. Par conséquent la valeur vénale de sa part de copropriété correspond au prix qu'elle pourrait en tirer en vendant ladite part à un autre copropriétaire, soit à la valeur de rendement de ses parcelles. Ce montant doit être pris en considération en tant que fortune immobilière et non pas à titre de produit de la fortune immobilière dès lors que la valeur fiscale de rendement profite exclusivement au frère de la recourante, exploitant agricole, et non pas au copropriétaire.</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Il statue aussi, en application de l'art. 56V al. 2 let. a LOJ, sur les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w:t>
      </w:r>
    </w:p>
    <w:p>
      <w:r>
        <w:t>A/2653/2007 - 7/15 -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Etant donné que les faits déterminants se sont réalisés avant l’entrée en vigueur de ces modifications, l’ancien droit reste applicable dans sa teneur au 31 décembre 2007.</w:t>
      </w:r>
    </w:p>
    <w:p>
      <w:r>
        <w:rPr>
          <w:b/>
        </w:rPr>
        <w:t>E. 3</w:t>
      </w:r>
    </w:p>
    <w:p>
      <w:r>
        <w:t>Le recours a été formé en temps utile, le 5 juillet 2007, dans le délai de trente jours (art. 60 al. 1 LPGA, art. 9 LPC et art. 43 LPCC) courant à partir du lendemain de la réception de la décision sur opposition, soit le 9 juin 2007 (cf. art. 38 al. 1 et 39 al. 2 LPGA). Interjeté dans les forme et délai prévus par la loi, le recours est recevable (art. 56 ss LPGA).</w:t>
      </w:r>
    </w:p>
    <w:p>
      <w:r>
        <w:rPr>
          <w:b/>
        </w:rPr>
        <w:t>E. 4</w:t>
      </w:r>
    </w:p>
    <w:p>
      <w:r>
        <w:t>Le litige porte sur le calcul des prestations complémentaires fédérales et cantonales dues à la recourante pour la période courant dès le 1er mars 2004, en particulier sur la question de savoir si les parcelles agricoles dont la recourante est copropriétaire doivent être prises en considération à leur valeur de rendement à titre de fortune ou de revenu de la fortune. En revanche, la question de la fortune mobilière et du montant retenu à titre de dessaisissement de la fortune immobilière ne sont plus litigieux. Il y a lieu de relever qu’après le dépôt du recours, l’intimé a émis une nouvelle décision, le 4 septembre 2007, annulant et remplaçant ses décisions de 2005. Or, 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à propos de ce principe de droit fédéral et de ses exceptions, voir également ATF 127 V 231 consid. 2b, ATFA non publié du 28 mars 2002, C 325/00, consid. 3c). Les art. 53 al. 3 LPGA et 43A LPCC disposent que jusqu'à l'envoi de son préavis à l'autorité de recours, l'assureur peut reconsidérer une décision ou une décision sur opposition contre laquelle un recours a été formé. Ces dispositions légales règlent le</w:t>
      </w:r>
    </w:p>
    <w:p>
      <w:r>
        <w:t>A/2653/2007 - 8/15 - cas particulier de la reconsidération « pendente lite » d'une décision ou d'une décision sur opposition contre laquelle un recours a été formé (cf. ATFA non publiés du 31 août 2004, I 497/03, du 20 avril 2004, I 653/03 et du 17 mars 2004, I 700/03, in ZBJV 140/2004 p. 751; voir aussi ATF 127 V 232 s. consid. 2b/bb). Par ailleurs, en vertu de l’art. 67 de la loi genevoise sur la procédure administrative du 12 septembre 1985 (LPA), le recours devant le Tribunal cantonal des assurances sociales a un effet dévolutif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Cette disposition reprend le contenu de l’art. 58 de la loi fédérale sur la procédure administrative du 20 décembre 1968 (PA). Selon la doctrine (KIESER, ATSG-Kommentar, ad art. 53 N 29 et 30, p. 541), l'art. 53 al. 3 LPGA a la même teneur que l'art. 58 PA et n'a rien changé à la réglementation qui valait selon la jurisprudence avant l'entrée en vigueur de la LPGA qui garde toute sa validité sous le règne de l'art. 53 al. 3 LPGA. Selon ladite jurisprudence, la décision prise « pendente lite » ne met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(ATF 113 V 237, 107 V 250 ; RCC 1992 122 consid. 5a). Dans un arrêt non publié du 15 juin 2007 (I 115/06 consid. 2.1) appliquant l’art. 53 al. 3 LPGA, le Tribunal fédéral des assurances a confirmé cette jurisprudence. En l’espèce, dans sa décision sur opposition du 7 juin 2007, l’intimé a tenu compte, au titre de la fortune immobilière, de la valeur vénale des 18 parcelles agricoles dont la recourante est copropriétaire avec ses quatre frères et sa tante. Il a considéré que la part de la recourante représentait 10’373.05 m² à raison de 8 fr. par m², soit une fortune de 83’000 fr. 40. Dans son recours du 5 juillet 2007 contre ladite décision sur opposition, la recourante a précisé que ses parcelles agricoles étaient estimées par le fisc genevois selon leur valeur de rendement qui était de 7'548 fr. Elle a conclu à ce que sa copropriété de parcelles agricoles fût prise en compte selon sa valeur de rendement évaluée à 7’548 fr. Puis, le 4 septembre 2007, l’intimé a transmis son préavis au Tribunal de céans en l’informant qu’il admettait de se baser sur la valeur de rendement desdites parcelles et qu’il notifiait une nouvelle décision à l’assurée ce qu’il a fait par décision du même jour annulant et remplaçant sa décision précédente. Il a joint une copie de cette nouvelle décision qui ne tient plus compte d’un bien immobilier au titre de la fortune, mais de produit de biens immobiliers en tant que produits de la fortune. Il n’est pas contestable que l’intimé a reconsidéré sa décision précédente avant l’envoi de son préavis. Il reste à déterminer si la décision du 4 septembre 2007 prise</w:t>
      </w:r>
    </w:p>
    <w:p>
      <w:r>
        <w:t>A/2653/2007 - 9/15 - « pendente lite » met un terme au litige, autrement dit si elle correspond aux conclusions de la recourante. En effet, cette dernière a formé opposition contre cette nouvelle décision, le 2 octobre 2007, en contestant la prise en compte de la somme de 7'548 fr. en tant que produit de biens immobiliers plutôt qu’au titre de la fortune immobilière. Même si, par sa nouvelle décision, l’intimé a nettement amélioré la situation de la recourante puisqu’il reconnaît lui devoir un arriéré de prestations de 9'920 fr., ladite décision ne règle pas toutes les questions à satisfaction de la recourante puisque cette dernière a conclu à la prise en considération de la valeur de rendement de sa fortune immobilière au titre de fortune alors que l’intimé en a tenu compte en tant que produit de la fortune ce qui implique que cette valeur est comptabilisée dans le revenu déterminant à 100 % au lieu de l’être partiellement en tant que fortune. Par conséquent, la nouvelle décision n’a pas rendu sans objet la présente procédure de sorte qu’il y a lieu d’entrer en matière sur les conclusions de la recourante.</w:t>
      </w:r>
    </w:p>
    <w:p>
      <w:r>
        <w:rPr>
          <w:b/>
        </w:rPr>
        <w:t>E. 5</w:t>
      </w:r>
    </w:p>
    <w:p>
      <w:r>
        <w:t>Selon l'art. 2c let. a LPC, ont droit aux prestations complémentaires les personnes invalides qui perçoivent une demi-rente ou une rente entière de l'AI. Celles-là se composent de la prestation complémentaire annuelle et du remboursement des frais de maladie et d'invalidité (art. 3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autres prestations périodiques, y compris les rentes de l'AVS et de l'AI (art. 3c al. 1 let. b et d LPC). S'y ajoute un quinzième de la fortune nette pour les bénéficiaires de rentes de l'assurance-invalidité, dans la mesure où elle dépasse 25'000 fr. pour les personnes seules (art. 3c al. 1 let. c LPC). Enfin, sont comprises dans les revenus déterminants les ressources et parts de fortune dont un ayant droit s'est dessaisi (art. 3c al. 1 let. g LPC). Selon l’art. 17 OPC-AVS/AI, la fortune doit être évaluée selon les règles de la législation sur l'impôt cantonal direct du canton du domicile (al. 1). Lorsque des immeubles ne servent pas d’habitation au requérant, ils seront pris en compte à leur valeur vénale (al. 4). En cas de dessaisissement d’un immeuble, à titre onéreux ou gratuit, est déterminante la valeur vénale pour savoir s’il y a renonciation à des parts de fortune au sens de l’art. 3c al. 1 let. g LPC. La valeur vénale n’est pas applicable si, légalement, il existe un droit d’acquérir l’immeuble à une valeur inférieure (al. 5).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w:t>
      </w:r>
    </w:p>
    <w:p>
      <w:r>
        <w:t>A/2653/2007 - 10/15 - calcul celle sur laquelle se fonde la dernière taxation fiscale (art. 23 al. 1 et 2 OPC- AVS/AI).</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Selon l’art. 7 LPCC, sont notamment considérés comme fortune de l'intéressé, et évalués conformément à la loi sur l'imposition des personnes physiques (impôt sur la fortune), les immeubles quel que soit le lieu de leur situation (al. 1 let. a). Pour les immeubles ne servant pas d’habitation principale aux intéressés, la valeur à prendre en compte est la valeur vénale (al. 7).</w:t>
      </w:r>
    </w:p>
    <w:p>
      <w:r>
        <w:rPr>
          <w:b/>
        </w:rPr>
        <w:t>E. 7</w:t>
      </w:r>
    </w:p>
    <w:p>
      <w:r>
        <w:t>La recourante allègue qu’au titre de revenu déterminant, il convient de prendre en considération la copropriété de ses parcelles agricoles à leur valeur de rendement alors que l’intimé, bien qu’il accepte de tenir compte de la valeur de rendement desdites parcelles, soutient qu’il s’agit du produit de la fortune. L’art. 17 OPC-AVS/AI prévoit deux modes d’évaluation de la fortune : la fortune mobilière et les immeubles appartenant et servant d’habitation au requérant ou à une personne comprise dans le calcul de la PC doivent être évalués selon les règles fiscales du canton du domicile (al. 1), alors que les immeubles ne servant pas d’habitation au requérant ou à une personne comprise dans le calcul de la PC doivent être pris en compte à la valeur vénale (al. 4). Cette réglementation n’outrepasse pas manifestement le cadre de la délégation de compétence accordée au Conseil fédéral (ATF 125 V 69 consid. 3a; VSI 3/1999 p. 86 ss). Par ailleurs, la législation cantonale prévoit la même distinction (art. 7 al. 1 let. a et al. 7 LPCC). D’après la loi genevoise sur l’imposition des personnes physiques - impôt sur la fortune du 22 septembre 2000 (LIPP-III), les immeubles servant à l’exploitation agricole et sylvicole sont évalués à leur valeur de rendement calculée selon le droit fédéral (art. 7 let. c), soit dans le cas de la recourante à 7'548 fr. La valeur vénale d’un bien-fonds est la valeur à la vente susceptible d’être obtenue dans le cadre d’une transaction normale. On entend aussi par là les prix payés pour des biens-fonds agricoles selon la loi du marché (ATF 120 V 10 consid. 1; VSI</w:t>
      </w:r>
    </w:p>
    <w:p>
      <w:r>
        <w:t>A/2653/2007 - 11/15 - 4/1994 p. 193 ss). Dans ses commentaires concernant la modification de l'OPC- 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Par conséquent, il y a lieu d’examiner s’il convient de calculer la fortune immobilière de la recourante respectivement les produits de sa fortune immobilière selon la valeur vénale ou la valeur de rendement des parcelles agricoles.</w:t>
      </w:r>
    </w:p>
    <w:p>
      <w:r>
        <w:rPr>
          <w:b/>
        </w:rPr>
        <w:t>E. 8</w:t>
      </w:r>
    </w:p>
    <w:p>
      <w:r>
        <w:t>En l’espèce, les parcelles de la recourante doivent être évaluées en principe selon leur valeur vénale puisqu’elle n’habite pas sur le domaine agricole (cf. art. 17 al. 4 OPC-AVS/AI; a contrario ATF 125 V 69 consid. 3c; Pratique VSI 3/1999 p. 86 ss). Toutefois, les objectifs du droit foncier rural (LDFR ainsi que loi fédérale sur le bail à ferme agricole du 4 octobre 1985 [LBFA]) et de la LPC sont, dans le présent contexte juridique, diamétralement opposés (ATF 125 V 69 consid. 2c; VSI 3/1999 p. 86 ss). Dans le cadre de l’ATF 120 V 10 consid. 4c (VSI 4/1994 p. 196), le Tribunal fédéral des assurances (ci-après : TFA) a estimé que le droit des PC ne saurait faire échouer l’objectif transparaissant dans la constitution, le droit successoral et le droit de préemption, à savoir le maintien du bien-fonds agricole de la famille du propriétaire à des conditions acceptables. Puis, à l’ATF 125 V 69 consid. 3b, le TFA a rappelé que, lors de l’application de l’art. 17 al. 4 OPC- AVS/AI, les PC doivent tenir compte de manière appropriée du droit foncier rural. Il a également considéré que la prise en compte des propriétés agricoles à la valeur vénale est en contradiction avec le droit foncier rural, notamment l’art. 1. al. 1 let. a LDFR ainsi que l’interdiction de partage matériel (art. 58 al. 1 LDFR) car, comme les immeubles agricoles ne peuvent être vendus séparément, ils n’ont aucune valeur vénale propre. La loi fédérale du 4 octobre 1991 sur le droit foncier rural (LDFR) s’applique aux immeubles agricoles isolés ou aux immeubles agricoles qui font partie d’une entreprise agricole, qui sont situés en dehors d’une zone à bâtir au sens de la loi fédérale sur l’aménagement du territoire du 22 juin 1979 et dont l’utilisation agricole est licite (art. 2 al. 1 LDFR). Est une entreprise agricole l’unité composée</w:t>
      </w:r>
    </w:p>
    <w:p>
      <w:r>
        <w:t>A/2653/2007 - 12/15 - d’immeubles, de bâtiments et d’installations agricoles qui sert de base à la production agricole et qui exige au moins la moitié des forces de travail d’une famille paysanne (art. 7 LDFR). Aucun immeuble ou partie d’immeuble ne peut être soustrait à une entreprise agricole (interdiction de partage matériel; art. 58 al. 1 LDFR). L’entreprise agricole est définie comme une unité du point de vue juridique, du point de vue de l’exploitation et du point de vue spatial, comprenant des immeubles et des bâtiments, servant de base à la production agricole et ayant une taille minimale. Les exploitations qui n’atteignent pas cette dernière ou qui ne peuvent être qualifiées d’entreprises pour d’autres raisons (art. 8 LDFR) ne sortent pas pour autant du champ d’application de la loi : elles sont considérées comme immeubles agricoles isolés (FF 2002 p. 4615). En cas d’aliénation d’une part de copropriété sur une entreprise agricole, ont, dans l’ordre, un droit de préemption sur cette part, tout copropriétaire qui entend exploiter l’entreprise lui-même et en paraît capable (art. 49 al. 1 ch. 1 LDFR); chaque descendant, chacun des frères et soeurs et leurs enfants ainsi que le fermier, aux conditions et modalités et dans l’ordre applicables au droit de préemption sur une entreprise agricole (art. 49 al. 1 ch. 2 LDFR); tout autre copropriétaire selon l’art. 682 du code civil (art. 49 al. 1 ch. 3 LDFR). En cas d’aliénation d’une part de copropriété sur un immeuble agricole, ont, notamment, un droit de préemption sur cette part, tout copropriétaire qui est déjà propriétaire d’une entreprise agricole ou qui dispose économiquement d’une telle entreprise lorsque l’immeuble est situé dans le rayon d’exploitation de cette entreprise, usuel dans la localité (art. 49 al. 2 ch. 1 LDFR); chaque descendant, et le fermier, aux conditions et modalités et dans l’ordre applicables au droit de préemption sur un immeuble (art. 49 al. 2 ch. 2 LDFR). Le copropriétaire qui demande l’attribution d’une entreprise agricole pour l’exploiter lui-même ou un immeuble agricole situé dans un rayon d’exploitation de l’entreprise usuel dans la localité peut invoquer le droit de préemption sur une entreprise agricole à la valeur de rendement et sur un immeuble agricole au double de cette valeur (art. 49 al. 3 LDFR). En l’espèce, étant donné que la recourante est copropriétaire de plus d’une dizaine de parcelles agricoles qui sont exploitées par son frère, elle est copropriétaire d’une entreprise agricole. A ce titre, elle ne peut pas disposer librement de sa propriété puisqu’en vertu du droit foncier rural (cf. art. 49 LDFR), elle ne peut vendre sa part qu’à un autre copropriétaire et à la valeur de rendement. Par conséquent, dans ce contexte, la valeur vénale de sa part de copropriété correspond au prix qu’elle pourrait retirer en vendant ladite part à un autre copropriétaire, soit à la valeur de rendement de ses parcelles. Dès lors, l’art. 17 al. 4 OPC-AVS/AI ne fait pas obstacle à l’évaluation de la fortune de la recourante selon la valeur de rendement admise par la loi fiscale genevoise en matière d’immeubles servant à l’exploitation agricole, soit à 7'548 fr. En définitive, quoi qu’en dise l’intimé, au vu des particularités du droit foncier rural, ce montant de 7'548 fr. correspond à la valeur vénale de la fortune immobilière de la recourante.</w:t>
      </w:r>
    </w:p>
    <w:p>
      <w:r>
        <w:t>A/2653/2007 - 13/15 - En revanche, il n’y a pas lieu de prendre en considération ce montant à titre de produit de la fortune immobilière au sens de l’art. 3c al. 1 let. b LPC comme le fait l’intimé. En effet, étant donné que lesdites parcelles sont cultivées par le frère René de la recourante, à titre d’exploitant de l’entreprise agricole, la valeur fiscale de rendement de 7'548 fr. ne peut en aucun cas représenter un rendement à prendre en considération dans le revenu de la fortune dès lors qu’il profite uniquement à celui qui cultive ces terres, soit à l’exploitant agricole et non pas au copropriétaire. A la suite du complément d’instruction auquel le Tribunal a procédé, il apparaît que la part de la recourante dans les revenus annuels du domaine agricole des hoirs s’élève à 352 fr. 09. A ce sujet, la recourante a précisé que son frère ne lui versait aucune contre-prestation financière pour l’exploitation des parcelles agricoles au motif qu’elle ne l’avait jamais exigée ce qui ressort également de ses déclarations et taxations fiscales puisqu’il n’y est pas fait mention d’un tel revenu.</w:t>
      </w:r>
    </w:p>
    <w:p>
      <w:r>
        <w:rPr>
          <w:b/>
        </w:rPr>
        <w:t>E. 9</w:t>
      </w:r>
    </w:p>
    <w:p>
      <w:r>
        <w:t>Conformément à l'art. 3c al. 1 let. g LPC, les revenus déterminants comprennent les ressources et parts de fortune dont un ayant droit s'est dessaisi. Cette disposition est applicable notamment lorsqu'un assuré renonce sans obligation juridique à des éléments de fortune, peut prétendre à certains éléments de revenu et de fortune et ne fait pas valoir les droits correspondants, ou renonce à mettre en valeur sa capacité de gain alors qu'on peut exiger de sa part qu’il exerce une activité lucrative (ATF 121 V 205 consid. 4a, 117 V 289 consid. 2; SPIRA, op. cit. p. 210; pour une vue d'ensemble à ce sujet, voir FERRARI, Dessaisissement volontaire et prestations complémentaires à l'AVS/AI, in: RSAS 2002, p. 417 ss). Dès lors, même si l'on fait abstraction de l'art. 3c al. 1 let. b LPC, il n'en reste pas moins que l’exploitation des parcelles de l’hoirie par son frère René donne droit à la recourante à la perception d’un revenu annuel de 352 fr. 09. Or, selon le pacte successoral du 26 novembre 1987, la recourante ainsi que ses frères avaient une obligation juridique de remettre gratuitement à son frère René l’exploitation des parcelles de l’hoirie jusqu’au 31 décembre 1998. Toutefois, après cette date, il n’existe plus aucune obligation juridique justifiant la renonciation à percevoir un tel revenu de sorte qu’il y a lieu de prendre en considération ce montant à titre de dessaisissement du revenu de la fortune. Le dossier est renvoyé à l’intimé pour nouveau calcul des prestations complémentaires tant cantonales que fédérales dès le 1er mars 2004 tenant compte d’une fortune immobilière de 7'548 fr. et d’un dessaisissement du revenu déterminant de 352 fr. 09 par année, puis nouvelle décision.</w:t>
      </w:r>
    </w:p>
    <w:p>
      <w:r>
        <w:rPr>
          <w:b/>
        </w:rPr>
        <w:t>E. 10</w:t>
      </w:r>
    </w:p>
    <w:p>
      <w:r>
        <w:t>Au vu de ce qui précède, le recours sera partiellement admis et la décision du 4 septembre 2007 sera annulée. La recourante obtenant gain de cause, une indemnité de 2’000 fr. lui sera accordée à titre de participation à ses frais et dépens (art. 61 let. g LPGA). En effet, selon la jurisprudence (ATF 126 V 11 consid. 2), peuvent également prétendre des dépens les assurés qui sont représentés par</w:t>
      </w:r>
    </w:p>
    <w:p>
      <w:r>
        <w:t>A/2653/2007 - 14/15 - Pro Infirmis (ATF 126 V 11 consid. 2; arrêt non publié K. du 30 avril 1998). 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