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ATAS/672/2020 vom 24. August 2020</w:t>
      </w:r>
    </w:p>
    <w:p>
      <w:r>
        <w:t>GE Cour de justice, 2020-08-24, FR</w:t>
      </w:r>
    </w:p>
    <w:p>
      <w:r>
        <w:rPr>
          <w:b/>
        </w:rPr>
        <w:t xml:space="preserve">Quelle: </w:t>
      </w:r>
      <w:r>
        <w:t>https://mcp.opencaselaw.ch/entscheid/ge_gerichte_ATAS_672_2020</w:t>
      </w:r>
    </w:p>
    <w:p>
      <w:r>
        <w:t>FR: GE_GERICHTE ATAS/672/2020 du 24 août 2020</w:t>
      </w:r>
    </w:p>
    <w:p>
      <w:r>
        <w:t>IT: GE_GERICHTE ATAS/672/2020 del 24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et/ou des mesures professionnelles.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A/617/2019 - 23/36 -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w:t>
      </w:r>
    </w:p>
    <w:p>
      <w:r>
        <w:t>A/617/2019 - 24/36 -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b. La fibromyalgie est une affection rhumatismale reconnue par l'Organisation mondiale de la santé (OMS) (CIM-10 : M79.0), caractérisée par une douleur généralisée et chronique du système ostéoarticulaire et s'accompagne généralement d'une constellation de perturbations essentiellement subjectives (telles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ATAS/581/2020).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w:t>
      </w:r>
    </w:p>
    <w:p>
      <w:r>
        <w:t>A/617/2019 - 25/36 -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ATAS/581/2020 et réf. citées; ATAS/1133/2018).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A/617/2019 - 26/36 -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rPr>
          <w:b/>
        </w:rPr>
        <w:t>E. 8</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w:t>
      </w:r>
    </w:p>
    <w:p>
      <w:r>
        <w:t>A/617/2019 - 27/36 - l’art. 29 al. 3 LAI, la rente est versée dès le début du mois au cours duquel le droit prend naissance (voir également Michel VALTERIO, commentaire de la loi fédérale sur l'assurance-invalidité [LAI], Schulthess éditions romandes 2018 ad art. 28 ch. 2 notes 16 p. 392 et références citées).</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A/617/2019 - 28/36 -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A/617/2019 - 29/36 -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A/617/2019 - 30/36 -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14</w:t>
      </w:r>
    </w:p>
    <w:p>
      <w:r>
        <w:t>En l'espèce, la décision entreprise se fondant essentiellement sur l'examen spécialisé auquel la recourante a été soumise auprès du Dr H______, rhumatologue FMH et médecin SMR, il y a lieu de déterminer si son rapport peut se voir reconnaître une pleine valeur probante, conformément aux principes jurisprudentiels rappelés ci- dessus (consid. 9). Selon ces principes,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w:t>
      </w:r>
    </w:p>
    <w:p>
      <w:r>
        <w:t>A/617/2019 - 31/36 -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À cet égard, la chambre de céans constate que l'examinateur, médecin interne à l'assurance-invalidité, est un spécialiste reconnu (rhumatologue FMH, ainsi qu'en médecine physique et rééducation FMH); son rapport se fonde sur des examens complets - il a examiné attentivement l'assurée -, il a pris en compte les plaintes de cette dernière, recueilli tous les éléments nécessaires (anamnèse), et les avis exprimés par les divers médecins, traitants ou consultés; il a également pris position de manière détaillée sur les avis de ses confrères, expliquant les raisons pour lesquelles il s'en écartait, le cas échéant, ou au contraire s'il en partageait l'avis. N'en déplaise à la recourante, ses conclusions sont claires et cohérentes. Ce rapport peut dès lors se voir reconnaître une pleine valeur probante, les points litigieux importants ayant été traités, l'examinateur ayant pour le surplus répondu à toutes les questions posées, et procédé ab ovo à un examen approfondi, s'agissant de déterminer si le diagnostic de fibromyalgie évoqué par le Dr. B______ était justifié ou non. Il indique en effet (rapport d'examen rhumatologique p. 9) qu' « au vu du diagnostic évoqué de possible fibromyalgie par le Dr. B______, nous prenons en détails le descriptif des douleurs selon le WPI du questionnaire de Wolfe. L'assurée a une fatigue vespérale de longue date, elle ne se plaint pas de sommeil non réparateur ou de troubles cognitifs, elle n'a pas l'impression d'être déprimée, elle n'a pas de céphalées. Globalement, le score de Wolfe est négatif à la recherche d'une fibromyalgie ». Il a par conséquent exclu le diagnostic de fibromyalgie, au vu de son examen personnel de l'expertisée, et des examens complémentaires (rapport d'examen rhumatologique du SMR, p. 7 « dépistage d'une fibromyalgie »). Or, comme rappelé ci-dessus, dans la définition de la fibromyalgie, si le diagnostic de fibromyalgie est d'abord le fait d'un médecin rhumatologue, il convient ici aussi d'exiger le concours d'un médecin spécialiste en psychiatrie, sauf pour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ATAS/581/2020 et réf. citées; ATAS/1133/2018). Dans le cas particulier, et contrairement à ce qu'allègue la recourante (mémoire de recours p. 3 au ch. 7) le Dr G______ (rhumatologue) - alors que le Dr B______ ne l'est pas - n'a pour sa part pas retenu ce diagnostic. La recourante vise ses pièces 2 et 13 pour attester de son allégué : force est toutefois de constater que la pièce 2, postérieure au projet de décision de l'OAI, est un rapport de consultation pour un deuxième avis rhumatologique du Dr J______ (8 décembre 2018), certes antérieur à la décision entreprise, mais qui n'a toutefois été produit qu'au stade du recours. Il indique dans son courrier (mais cela n'est pas exact) que « le Dr G______ aurait semble-t-il posé le diagnostic de fibromyalgie ». Or, la pièce 12 produite par la recourante (rapport du Dr G______) et les autres rapports de ce</w:t>
      </w:r>
    </w:p>
    <w:p>
      <w:r>
        <w:t>A/617/2019 - 32/36 - médecin, versés au dossier, ne retiennent pas ce diagnostic. On remarquera d'ailleurs que le Dr J______ ne prend pas position par rapport à l'examen rhumatologique du Dr H______. Selon la jurisprudence rappelée précédemment,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Tel n'est pas le cas en l'espèce. Enfin, on ne saurait se contenter de l'affirmation de la recourante, selon laquelle « au moment de l'examen (elle) se faisait du souci pour sa situation économique et son avenir professionnel, de sorte qu'elle a minimisé les douleurs ressenties et tenté de faire bonne figure ». Il résulte dès lors de ce qui précède que l'on peut reconnaître au rapport d'examen rhumatologique du Dr H______ une pleine valeur probante, dès lors qu'aucun avis médical des médecins traitants et/ou consultés par la recourante, ni aucun autre élément du dossier ne permettent, en l'espèce, de nourrir même le moindre doute par rapport à une démonstration objective, que l'examinateur du SMR aurait ignoré un élément important du dossier faisant apparaître son examen comme manquant d'objectivité ou suscitant des hésitations quant à sa fiabilité. Ce grief doit en conséquence être rejeté.</w:t>
      </w:r>
    </w:p>
    <w:p>
      <w:r>
        <w:rPr>
          <w:b/>
        </w:rPr>
        <w:t>E. 15</w:t>
      </w:r>
    </w:p>
    <w:p>
      <w:r>
        <w:t>La recourante fait ensuite le reproche à l'intimé de n'avoir pas suffisamment instruit son dossier médical, en ignorant le suivi psychiatrique annoncé, pour la première fois dans le cadre de la contestation du projet de décision du 20 novembre 2018, par son courrier du 8 janvier 2019 indiquant à l'OAI qu'elle était également en traitement pour une dépression depuis début décembre 2018 auprès du Dr I______, spécialiste FMH en psychiatrie. Certes, l'annonce de la recourante à l'OAI, après réception du projet de décision rejetant sa demande de prestations, de ce qu'elle était suivie pour dépression depuis début décembre 2018 par un psychiatre, pouvait laisser supposer un certain effet réactionnel résultant du fait que l'intéressée avait appris, peu de temps avant de s'adresser à un psychiatre, que sa demande de prestations de l'assurance-invalidité allait être rejetée. La chambre de céans est toutefois d'avis que, dans le contexte de ce dossier, où était évoquée une possible fibromyalgie, quand bien même l'examinateur du SMR, spécialiste en rhumatologie, aboutissait à la conclusion qu'il ne pouvait retenir ce diagnostic, il n'empêche que l'OAI, nanti de cette information (de suivi psychiatrique), ne pouvait faire l'économie d'une investigation médicale plus précise, dès lors que, selon la nature particulière de la fibromyalgie, rappelée précédemment, quand bien même le diagnostic de fibromyalgie est d'abord le fait</w:t>
      </w:r>
    </w:p>
    <w:p>
      <w:r>
        <w:t>A/617/2019 - 33/36 - d'un médecin rhumatologue, il convient ici aussi d'exiger le concours d'un médecin spécialiste en psychiatrie, d'autant plus que les facteurs psychosomatiques ont, selon l'opinion dominante, une influence décisive sur le développement de cette atteinte à la santé. Or, jusque-là, l'OAI, qui aurait dû le faire, s'était contenté de faire appel au seul spécialiste en rhumatologie sans solliciter l'avis d'un psychiatre, contrairement à l'exigence rappelée ci-dessus. L'OAI aurait dû spontanément solliciter un rapport du psychiatre traitant. Il en aurait appris que ce n'était pas seulement depuis la réception du projet de décision négative que la recourante se serait adressée à lui, dans un contexte réactionnel, mais au contraire, qu'il suivait cette patiente depuis 2015 déjà, pour les affections psychiatriques l'ayant appelé à suivre la patiente, notamment dans le cadre d'une psychothérapie, effectuée par une psychologue diplômée, sous sa délégation, expliquant encore que l'intéressée étant plutôt craintive, en ce qui concerne les traitements pharmacologiques, elle avait uniquement bénéficié par le passé d'un traitement par antidépresseurs. Et s'il avait sollicité ce psychiatre par rapport à la question d'une éventuelle fibromyalgie, l'OAI aurait très probablement dû ordonner une expertise psychiatrique, compte tenu du fait que ce spécialiste aurait probablement d'emblée indiqué, - comme il l'a fait ultérieurement-, qu'il n'était pas spécialiste en matière de fibromyalgie, respectivement de troubles somatoformes douloureux. Ainsi, quand bien même les documents médicaux, d'ordre psychiatrique notamment, ont été produits postérieurement à la décision dont est recours, ils trouvent néanmoins leur origine, comme on l'a vu, largement antérieurement au prononcé du projet de décision et de la décision formelle qui en confirmait les conclusions. Dans cette mesure, il apparaît que l'OAI n'a pas suffisamment instruit le dossier médical avant de rendre la décision entreprise, de sorte que le dossier devra lui être retourné, pour la mise en place d'une expertise psychiatrique (voire pluridisciplinaire avec, en matière somatique, un volet rhumatologique), selon une procédure consensuelle (art. 44 LPGA), confiée à un/des expert(s) indépendant(s), spécialiste(s) de ce type d'affections, charge à l'expert psychiatre désigné d'examiner ces questions en respectant les exigences d'une procédure structurée, prenant en compte les indicateurs définis par la jurisprudence du Tribunal fédéral dès 2015, applicable depuis lors non seulement aux troubles somatoformes douloureux, mais à diverses pathologies analogues comme précisément la fibromyalgie, et depuis plus récemment encore, à toute affection psychiatrique. L'expert psychiatre désigné devra non seulement se prononcer sur la question spécifique de l'existence de troubles somatoformes ou associés, mais également sur les autres diagnostics d'ordre psychiatrique qu'il pourrait être amené à retenir, et leur incidence sur l'état de santé et sur la capacité de travail de la recourante (limitations, influence sur le rendement…). Enfin, les experts devront se concerter au sujet de leurs conclusions respectives.</w:t>
      </w:r>
    </w:p>
    <w:p>
      <w:r>
        <w:t>A/617/2019 - 34/36 -</w:t>
      </w:r>
    </w:p>
    <w:p>
      <w:r>
        <w:rPr>
          <w:b/>
        </w:rPr>
        <w:t>E. 16</w:t>
      </w:r>
    </w:p>
    <w:p>
      <w:r>
        <w:t>C'est le lieu d'évoquer une question litigieuse survenue en cours de procédure judiciaire, au sujet de la prise en charge des honoraires du Dr I______ pour l'établissement de son rapport circonstancié (du 6 novembre 2019). Selon la recourante, qui a par ailleurs démontré avoir payé la note litigieuse (selon justificatifs annexés au courrier de son conseil du 21 novembre 2019), le remboursement de cette facture de CHF 260.- devrait être mis à la charge de l'OAI. L'intimé s'y oppose, pour les motifs qu'il a exposés. Il n'y a en l'espèce pas lieu de trancher cet aspect du différend entre les parties, qui peut en l'espèce rester ouvert. En effet, étant à l'origine de la demande de rapport du psychiatre traitant, - ce qui dans le cas particulier a été fait via la recourante -, la chambre de céans remboursera directement le montant susmentionné, par crédit du compte courant « rubrique honoraires » du conseil de la recourante, par le débit duquel la note d'honoraires du psychiatre traitant avait été acquittée le 20 novembre 2019.</w:t>
      </w:r>
    </w:p>
    <w:p>
      <w:r>
        <w:rPr>
          <w:b/>
        </w:rPr>
        <w:t>E. 17</w:t>
      </w:r>
    </w:p>
    <w:p>
      <w:r>
        <w:t>Enfin, la recourante fait valoir que l'intimé a retenu, dans la décision entreprise, de manière erronée, que l'incapacité totale de travail était limitée dans le temps, pour la dernière période, d'octobre 2015 à octobre 2016. Elle considère qu'il s'agirait là d'une inadvertance de la part de l'intimé dès lors que, dans son rapport sur lequel l'OAI se fonde, le Dr H______ a fixé cette période d'incapacité totale du 20 octobre 2015 au 6 décembre 2016. Elle estime, dans ces circonstances, que l'incapacité totale de travail ayant duré plus d'une année, les conditions d'octroi d'une rente seraient réalisées. Certes, on ne comprend pas la raison pour laquelle l'OAI s'est écarté de la date de de fin d'incapacité de travail retenue par l'examinateur du SMR; l'OAI n'a nullement motivé son point de vue. Cela n'est toutefois pas déterminant en l'espèce : comme rappelé précédemment,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(voir également Michel VALTERIO, op. cit., ad art. 28 ch. 2 notes 16 p. 392 et références citées). Dans le cas d'espèce, il ressort de ce qui précède et de la doctrine que la durée de l'incapacité de travail n'importe pas si au moment de la naissance du droit à la rente (en l'occurrence au plus tôt six mois après le dépôt de la demande, soit au début décembre 2016), l'assurée n'était plus en incapacité, ce qui est le cas en l'espèce. Dans cette mesure également, l'art. 88a RAI n'est d'aucun secours à la recourante dès lors que cette disposition implique la préexistence d'une rente sinon le droit préexistant à une rente, ce qui n'était pas le cas en l'occurrence.</w:t>
      </w:r>
    </w:p>
    <w:p>
      <w:r>
        <w:t>A/617/2019 - 35/36 -</w:t>
      </w:r>
    </w:p>
    <w:p>
      <w:r>
        <w:rPr>
          <w:b/>
        </w:rPr>
        <w:t>E. 18</w:t>
      </w:r>
    </w:p>
    <w:p>
      <w:r>
        <w:t>Au vu de ce qui précède, le recours sera partiellement admis; la décision de l'OAI du 15 janvier 2019 sera annulée et le dossier sera retourné à l'intimé pour instruction complémentaire dans le sens des considérants et nouvelle décision.</w:t>
      </w:r>
    </w:p>
    <w:p>
      <w:r>
        <w:rPr>
          <w:b/>
        </w:rPr>
        <w:t>E. 19</w:t>
      </w:r>
    </w:p>
    <w:p>
      <w:r>
        <w:t>La recourante obtenant partiellement gain de cause, une indemnité de CHF 1'900.- lui sera accordée à titre de participation à ses frais et dépens (art. 61 let. g LPGA; art. 6 du règlement sur les frais, émoluments et indemnités en matière administrative du 30 juillet 1986 [RFPA - E 5 10.03]).</w:t>
      </w:r>
    </w:p>
    <w:p>
      <w:r>
        <w:rPr>
          <w:b/>
        </w:rPr>
        <w:t>E. 20</w:t>
      </w:r>
    </w:p>
    <w:p>
      <w:r>
        <w:t>Etant donné que la procédure n'est pas gratuite (art. 69 al. 1bis LAI), au vu du sort du recours, il y a lieu de condamner l'intimé au paiement d'un émolument de CHF 300.-.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