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ATAS/672/2018 vom 31. Juli 2018</w:t>
      </w:r>
    </w:p>
    <w:p>
      <w:r>
        <w:t>GE Cour de justice, 2018-07-31, FR</w:t>
      </w:r>
    </w:p>
    <w:p>
      <w:r>
        <w:rPr>
          <w:b/>
        </w:rPr>
        <w:t xml:space="preserve">Quelle: </w:t>
      </w:r>
      <w:r>
        <w:t>https://mcp.opencaselaw.ch/entscheid/ge_gerichte_ATAS_672_2018</w:t>
      </w:r>
    </w:p>
    <w:p>
      <w:r>
        <w:t>FR: GE_GERICHTE ATAS/672/2018 du 31 juillet 2018</w:t>
      </w:r>
    </w:p>
    <w:p>
      <w:r>
        <w:t>IT: GE_GERICHTE ATAS/672/2018 del 31 luglio 2018</w:t>
      </w:r>
    </w:p>
    <w:p>
      <w:pPr>
        <w:pStyle w:val="Heading2"/>
      </w:pPr>
      <w:r>
        <w:t>Erwägungen</w:t>
      </w:r>
    </w:p>
    <w:p>
      <w:r>
        <w:rPr>
          <w:b/>
        </w:rPr>
        <w:t>E. 1</w:t>
      </w:r>
    </w:p>
    <w:p>
      <w:r>
        <w:t>a. 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c. Les décisions sur opposition peuvent faire l’objet d’un recours dans le délai de trente jours dès la notification de la décision (art. 56 al. 1 et 60 al. 1 LPGA). Si le délai, compté par jours, doit être communiqué aux parties, il commence à courir le lendemain de la communication (art. 38 al. 1 LPGA).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w:t>
      </w:r>
    </w:p>
    <w:p>
      <w:r>
        <w:t>A/2663/2017 - 9/19 - ce sens que si la notification ou sa date sont contestées et qu’il existe effectivement un doute à ce sujet, il y a lieu de se fonder sur les déclarations du destinataire de l’envoi (arrêt du Tribunal fédéral 8C_621/2007 du 5 mai 2008 consid. 4.2). d. En l’espèce, la décision du 8 mai 2017 a d’abord été expédiée par pli simple au recourant, qui soutient ne l’avoir alors pas reçue. Il allègue que « sans nouvelles, [il] a constaté un jour que son compte avait été crédité d’une somme d’argent par la caisse […]. Lors de son entretien téléphonique du 22 mai [avec un gestionnaire de l’OAI], il a demandé à ce que la décision ayant conduit à [ce] versement lui soit adressée. Par courriel du jour-même, le gestionnaire [lui] a transmis la décision ». La chambre de céans constate que si les explications données par le recourant pour justifier la recevabilité de son recours ne sont pas limpides, dès lors qu’il omet de préciser si c’est le 22 mai 2017 – date à laquelle la décision attaquée lui a été réexpédiée par courriel – ou antérieurement qu’il a constaté le virement bancaire l’ayant conduit à prendre contact avec l’OAI, il n’en demeure pas moins que le dossier ne contient pas de preuve dont on pourrait déduire qu’il aurait reçu la décision avant le 22 mai 2017. Il convient donc de se fonder sur ses déclarations et de retenir qu’il a reçu la décision à cette date. Partant, il a agi en temps utile en saisissant la chambre de céans d’un recours le 19 juin 2017 (art. 60 al. 1 LPGA). Satisfaisant par ailleurs aux exigences – modestes – de forme et de contenu prévues par l’art. 61 let. b LPGA (cf. aussi art. 89B LPA), le recours est recevable.</w:t>
      </w:r>
    </w:p>
    <w:p>
      <w:r>
        <w:rPr>
          <w:b/>
        </w:rPr>
        <w:t>E. 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la décision attaquée accorde à l’assuré une rente entière d’invalidité limitée dans le temps (du 1er avril au 31 août 2016) et nie son droit à des mesures d’ordre professionnel. Dans son recours, l’assuré se limite à requérir le versement de la rente dès le 1er janvier 2016 et au-delà du 31 août 2016, sans remettre en question le refus de l’intimé de lui accorder des mesures professionnelles. Est donc seul litigieux son droit à une rente pour les périodes courant respectivement du 1er janvier au 31 mars 2016 et au-delà du 1er août 2016.</w:t>
      </w:r>
    </w:p>
    <w:p>
      <w:r>
        <w:rPr>
          <w:b/>
        </w:rPr>
        <w:t>E. 3</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w:t>
      </w:r>
    </w:p>
    <w:p>
      <w:r>
        <w:t>A/2663/2017 - 10/19 - invalide à 70% au moins, à un trois-quarts de rente s'il est invalide à 60% au moins, à une demi-rente s’il est invalide à 50% au moins, ou à un quart de rente s’il est invalide à 40% au moins.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L’art. 17 al. 1er LPGA dispose que si le taux d’invalidité du bénéficiaire de la rente subit une modification notable, la rente est, d’office ou sur demande, révisée pour l’avenir, à savoir augmentée ou réduite en conséquence, ou encore supprimée.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Aux termes de l’art. 88a al. 1 du règlement sur l’assurance-invalidité du 17 janvier 1961 (RAI - RS 831.201),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t>A/2663/2017 - 11/19 -</w:t>
      </w:r>
    </w:p>
    <w:p>
      <w:r>
        <w:rPr>
          <w:b/>
        </w:rPr>
        <w:t>E. 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pratiquement plus en ligne de compte (arrêt du Tribunal fédéral 9C_237/2007 du 24 août 2007 consid. 5.1, non publié in ATF 133 V 545).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 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w:t>
      </w:r>
    </w:p>
    <w:p>
      <w:r>
        <w:t>A/2663/2017 - 12/19 -</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A/2663/2017 - 13/19 - de poids aux constatations faites par un spécialiste qu’à l’appréciation de l’incapacité de travail par le médecin de famille (ATF 125 V 351 consid. 3b/cc et les références ; RJJ 1995 p. 44 ; RCC 1988 p. 504 consid. 2).</w:t>
      </w:r>
    </w:p>
    <w:p>
      <w:r>
        <w:rPr>
          <w:b/>
        </w:rPr>
        <w:t>E. 8</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Il n’existe pas, en droit des assurances sociales, un principe selon lequel l’administration ou le juge devrait statuer, dans le doute, en faveur de l’assuré (ATF 126 V 322 consid. 5a).</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w:t>
      </w:r>
    </w:p>
    <w:p>
      <w:r>
        <w:t>A/2663/2017 - 14/19 - la Confédération suisse du 18 avril 1999 (RS 101 - Cst; SVR 2001 IV n. 10 p. 28 consid. 4b), la jurisprudence rendue sous l’empire de l’art. 4 aCst. étant toujours valable (ATF 124 V 90 consid. 4b; 122 V 157 consid. 1d).</w:t>
      </w:r>
    </w:p>
    <w:p>
      <w:r>
        <w:rPr>
          <w:b/>
        </w:rPr>
        <w:t>E. 10</w:t>
      </w:r>
    </w:p>
    <w:p>
      <w:r>
        <w:t>En l’espèce, l’intimé, se fondant notamment sur l’expertise du Dr F______ - auquel le SMR s’est rallié -, a accordé à l’assuré une rente entière d’invalidité, limitée à la période courant du 1er avril au 31 août 2016. Il a retenu que l’assuré était totalement incapable d’exercer la profession d’employé d’entretien depuis le 13 avril 2015, mais qu’il avait recouvré, le 1er juin 2016, une pleine capacité de travail dans toute activité adaptée à ses limitations fonctionnelles. De son côté, le recourant réclame le versement d’une rente dès le 1er janvier 2016 et au-delà du 31 août 2016. Il soutient que son état de santé ne s’est pas amélioré depuis l’installation de sa prothèse du genou droit et reproche à l’expert ainsi qu’au SMR d’avoir évalué sa capacité de travail sans tenir compte de ses atteintes dorsales et scapulaires. Il critique également le fait que le dossier de l’intimé ne contienne pas de pièces relatives à une première demande de prestations AI qu’il a déposée dans les années quatre-vingts à la suite d’un accident de chantier (chute d’une lourde charge sur son épaule gauche).</w:t>
      </w:r>
    </w:p>
    <w:p>
      <w:r>
        <w:rPr>
          <w:b/>
        </w:rPr>
        <w:t>E. 11</w:t>
      </w:r>
    </w:p>
    <w:p>
      <w:r>
        <w:t>a. La chambre de céans constate que l’expertise du Dr F______, bien que relativement succincte, est fondée sur les indications subjectives de l’assuré, sur un examen rhumatologique complet et une anamnèse, dont il ressort notamment que l’intéressé a jadis été victime d’un accident ayant touché sa clavicule gauche, opérée en 1980 ; l’accident de chantier évoqué par le recourant n’a donc pas été ignoré par l’expert. Cette expertise, dont les conclusions sont claires, motivées et exemptes de contradictions, satisfait dès lors aux réquisits jurisprudentiels relatifs à la valeur probante. Il en ressort une capacité de travail nulle dans l’activité antérieure de nettoyeur, mais de 100% avec une diminution de rendement de 10% dans toute activité adaptée de type sédentaire, permettant à l’assuré d’alterner les positions assise/debout deux fois par heure et d’éviter les marche excédant une demi-heure, les montées/descentes répétées d’escaliers et les positions accroupies. Les conclusions des spécialistes consultés par l’assuré rejoignent dans une large mesure celles de l’expert F______. En effet, le Dr C______, chirurgien orthopédiste, a conclu à une capacité de travail nulle dans l’activité antérieure mais entière dans une activité adaptée. Quant au Dr E______, chirurgien orthopédiste, il a également jugé envisageable l’exercice d’une activité « non manuelle », telle qu’une activité de bureau (cf. notamment ses rapports des 11 novembre 2016 et 17 janvier 2017). De son côté, la Dre B______, endocrinologue et diabétologue, a d’abord chiffré la capacité de travail dans une activité adaptée à 50% en juillet 2015, soit avant l’installation de la prothèse du genou droit, puis elle a renoncé, en décembre 2015, à se prononcer sur la capacité de travail et a invité l’administration à s’adresser au médecin orthopédiste de l’assuré. Au vu de ce qui précède, force est de constater que les conclusions des spécialistes consultés par l’assuré ne s’écartent pas fondamentalement de celles de l’expert et qu’elles tendent à corroborer</w:t>
      </w:r>
    </w:p>
    <w:p>
      <w:r>
        <w:t>A/2663/2017 - 15/19 - l’existence d’une capacité résiduelle de travail importante dans toute activité adaptée. b. Il convient de rappeler que lorsqu'une appréciation repose sur une évaluation médicale complète,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 En l’occurrence, le recourant ne met en évidence aucun élément pertinent et objectivement vérifiable que l’expert F______ ou ses médecins pourraient avoir omis de prendre en considération. En particulier, c’est en vain qu’il reproche à l’expert d’avoir omis de tenir compte de ses problèmes dorsaux et scapulaires : outre le fait qu’il n’a pas signalé dans sa demande de prestations, déposée en 2015, l’existence d’atteintes dorsales ou scapulaires, a fortiori incapacitante, il ressort de l’expertise (pp. 5 et 7) que le Dr F______, lors de son examen clinique, n’a pas vérifié uniquement la mobilité de ses genoux mais aussi celle de ses épaules ainsi que de son rachis. Or, cet examen clinique s’est révélé normal et a démontré une mobilité non limitée au niveau des cervicales, du tronc et des articulations périphériques. De surcroît, l’expert a précisé que les mouvements des épaules et du rachis n’entraînaient pas de douleurs. Dans ces conditions, les troubles dorsaux et scapulaires invoqués paraissent impropres à remettre en question les conclusions de l’expertise et c’est à tort que le recourant se prévaut d’une violation de l’obligation d’instruire en relation avec ceux-ci. L’absence de pièces relatives à une première demande de prestations que le recourant aurait déposée dans les années quatre-vingts n’est pas décisive non plus, dès lors que postérieurement à celle-ci, l’intéressé a pu exercer diverses activités lucratives (conducteur de machines-outils, concierge, etc.), y compris à plein temps, pendant plus de vingt ans. Il sied encore de préciser que l’expert a déjà tenu compte de la persistance de douleurs postérieurement à l’installation de la prothèse, en précisant dans son rapport (p. 6) : « alors que les suites opératoires immédiates se révèlent sans complication, […] l’assuré va continuer de souffrir de gonalgies droites mécaniques malgré une longue prise en charge de rééducation fonctionnelle active, se rajoutant [à] des épisodes de blocages à quelques reprises en avril 2015 et un autre début juin, contrôle clinique et radiologique réalisé chez les orthopédistes des HUG le 7 juin 2016 vérifiant une normalité de l’implantation prothétique ». Quant au Dr E______, il a également fait état de douleurs persistantes, mais n’en a pas tiré de conclusion quant à l’aptitude de l’assuré à exercer une activité adaptée. Enfin, contrairement à ce que semble considérer le recourant, le fait qu’un changement de prothèse pourrait s’avérer nécessaire à l’avenir ne remet pas en question la capacité de travail retenue par l’expert, dès lors que ce fait revêt un caractère hypothétique et</w:t>
      </w:r>
    </w:p>
    <w:p>
      <w:r>
        <w:t>A/2663/2017 - 16/19 - ne surviendrait, le cas échéant, que postérieurement à la décision attaquée. Or, le juge appelé à se prononcer sur la légalité d'une décision rendue par une assurance sociale doit apprécier l'état de fait déterminant existant au moment où la décision attaquée a été rendue (ATF 121 V 366 consid. 1b). c. À défaut d’éléments susceptibles de les remettre en question, la chambre de céans se rallie aux conclusions convergentes de l’expert F______, du SMR et des médecins du recourant. À l’instar de l’intimé, elle retiendra donc, au degré de la vraisemblance prépondérante, une capacité de travail nulle dans la profession de nettoyeur dès le 13 avril 2015, mais de 100% - avec une diminution de rendement de 10% - dans toute activité aux limitations fonctionnelles énoncées par l’expert, dès le mois de juin 2016 au plus tard. d. S’agissant du début de l’incapacité de travail durable, que le recourant semble remettre en question, le SMR l’a situé au 13 avril 2015, c’est-à-dire à la date à partir de laquelle l’intéressé a cessé de travailler selon les informations communiquées par son ex-employeur (cf. pièce 4 du dossier de l’intimé). La chambre de céans s’en tient à cette date, laquelle n’exclut pas que le recourant ait pu présenter antérieurement des incapacités de travail transitoires, par exemple à la suite de sa première opération du genou, en janvier 2015.</w:t>
      </w:r>
    </w:p>
    <w:p>
      <w:r>
        <w:rPr>
          <w:b/>
        </w:rPr>
        <w:t>E. 12</w:t>
      </w:r>
    </w:p>
    <w:p>
      <w:r>
        <w:t>a. L’intimé a retenu qu’au terme du délai de carence d’un an, le 13 avril 2016, et jusqu’en mai 2016, l’assuré avait présenté un degré d’invalidité de 100%. Dès le 1er juin 2016, l’intimé a fixé le degré d’invalidité à 12% en comparant le revenu sans invalidité (CHF 61’708.-) que l’assuré aurait perçu en bonne santé à 100% selon son ex-employeur, en tenant compte de l’évolution des salaires, avec le revenu statistique d’invalide (CHF 54'234.-) qu’il aurait été en mesure de réaliser au même taux malgré son état de santé dans une activité adaptée à ses limitations, après déduction d’une perte de rendement de 10% et d’un abattement de 10% (Enquête suisse sur la structure des salaires 2014, tableau T1_tirage_skill_level [secteur privé et public], niveau 1, indexé ; cf. pour le détail la pièce 45 du dossier de l’intimé). Le recourant soutient que la tabelle statistique à laquelle s’est référé l’intimé pour évaluer son revenu d’invalide couvre notamment des activités lourdes, incompatibles avec son état de santé. b. En l’occurrence, il convient de se référer à l’ESS 2012 plutôt qu’à l’ESS 2014, dès lors que la version 2014 de cette enquête n’était pas encore publiée au moment où la décision attaquée a été rendue (arrêt du tribunal fédéral 8C_228/2017 du</w:t>
      </w:r>
    </w:p>
    <w:p>
      <w:r>
        <w:rPr>
          <w:b/>
        </w:rPr>
        <w:t>E. 14</w:t>
      </w:r>
    </w:p>
    <w:p>
      <w:r>
        <w:t>Mal fondé, le recours est rejeté.</w:t>
      </w:r>
    </w:p>
    <w:p>
      <w:r>
        <w:rPr>
          <w:b/>
        </w:rPr>
        <w:t>E. 15</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 bis LAI). Vue l’issue donnée au recours, il n’y a pas matière à allocation d’une indemnité de procédure (art. 61 let. g LPGA). ****</w:t>
      </w:r>
    </w:p>
    <w:p>
      <w:r>
        <w:t>A/2663/2017 - 19/19 -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