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ATAS/672/2013 vom 20. Juni 2013</w:t>
      </w:r>
    </w:p>
    <w:p>
      <w:r>
        <w:t>GE Cour de justice, 2013-06-20, FR</w:t>
      </w:r>
    </w:p>
    <w:p>
      <w:r>
        <w:rPr>
          <w:b/>
        </w:rPr>
        <w:t xml:space="preserve">Quelle: </w:t>
      </w:r>
      <w:r>
        <w:t>https://mcp.opencaselaw.ch/entscheid/ge_gerichte_ATAS_672_2013</w:t>
      </w:r>
    </w:p>
    <w:p>
      <w:r>
        <w:t>FR: GE_GERICHTE ATAS/672/2013 du 20 juin 2013</w:t>
      </w:r>
    </w:p>
    <w:p>
      <w:r>
        <w:t>IT: GE_GERICHTE ATAS/672/2013 del 20 giugno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L'assurance-indemnité journalière dont il est question correspond à une assurance collective indemnité journalière selon la LAMal. La compétence de la Cour de céans pour juger du cas d’espèce est ainsi établie.</w:t>
      </w:r>
    </w:p>
    <w:p>
      <w:r>
        <w:rPr>
          <w:b/>
        </w:rPr>
        <w:t>E. 2</w:t>
      </w:r>
    </w:p>
    <w:p>
      <w:r>
        <w:t>La LPGA, entrée en vigueur le 1er janvier 2003, est applicable à l’assurance- maladie, sauf dérogation expresse (art. 1 al. 1 LAMal).</w:t>
      </w:r>
    </w:p>
    <w:p>
      <w:r>
        <w:rPr>
          <w:b/>
        </w:rPr>
        <w:t>E. 3</w:t>
      </w:r>
    </w:p>
    <w:p>
      <w:r>
        <w:t>Interjeté dans les forme et délai prévus par la loi, le recours est recevable (art. 56ss LPGA).</w:t>
      </w:r>
    </w:p>
    <w:p>
      <w:r>
        <w:rPr>
          <w:b/>
        </w:rPr>
        <w:t>E. 4</w:t>
      </w:r>
    </w:p>
    <w:p>
      <w:r>
        <w:t>Le litige porte sur la question de savoir si c'est à juste titre que l'assureur à mis un terme à ses prestations avec effet au 30 juin 2010, singulièrement de savoir si, au- delà de cette date, a persisté une incapacité de travail causée par la maladie.</w:t>
      </w:r>
    </w:p>
    <w:p>
      <w:r>
        <w:rPr>
          <w:b/>
        </w:rPr>
        <w:t>E. 5</w:t>
      </w:r>
    </w:p>
    <w:p>
      <w:r>
        <w:t>a) Aux termes de l'art. 67 al. 1 LAMal, toute personne domiciliée en Suisse ou qui y exerce une activité lucrative, âgée de quinze ans révolus, mais qui n'a pas atteint 65 ans, peut conclure une assurance d'indemnités journalières avec un assureur au sens de l'art. 68 LAMal. L'assureur convient avec le preneur d'assurance du montant des indemnités journalières assurées; ils peuvent limiter la couverture aux risques de la maladie et de la maternité (art. 72 al. 1 LAMal). b) Le droit à l'indemnité journalière selon la LAMal suppose une incapacité de travail, définie conformément à l'art. 6 LPGA, réduite de moitié au moins (art. 72 al. 2 première phrase LAMal). La jurisprudence rendue sous l'empire de l'ancienne loi sur l'assurance-maladie (LAMA, en vigueur jusqu'au 31 décembre 1995) est également applicable sous le nouveau régime de la LAMal (ATF 128 V 152, consid. 2a; RAMA 1998 n° KV 45 p. 430). Selon la jurisprudence, est considéré comme incapable de travailler l'assuré qui, à la suite d'une atteinte à la santé, ne peut plus exercer son activité habituelle ou ne peut l'exercer que d'une manière limitée ou encore avec le risque d'aggraver son état (ATF 129 V 51, consid. 1.1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w:t>
      </w:r>
    </w:p>
    <w:p>
      <w:r>
        <w:t>A/47/2012 - 9/12 - raisonnablement exiger de lui (RAMA 2005 KV n°342 p. 356; ATF 114 V 281, consid. 1c).</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consid. 1b et les références). S'agissant de la capacité de travail, les tâches du médecin consistent à porter un jugement sur l'état de santé de l'assuré et indiquer dans quelle mesure et pour quelles activités il est incapable de travailler, d'autre part à déterminer les travaux qui peuvent encore raisonnablement être exigés de lui (ATF 125 V 256, consid. 4).</w:t>
      </w:r>
    </w:p>
    <w:p>
      <w:r>
        <w:rPr>
          <w:b/>
        </w:rPr>
        <w:t>E. 7</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A/47/2012 - 10/12 - sociales, il y a lieu toutefois de poser des exigences sévères quant à l’impartialité de l’expert (ATF U 216/04 du 21 juillet 2005, consid. 5.2;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8</w:t>
      </w:r>
    </w:p>
    <w:p>
      <w:r>
        <w:t>En l'espèce, s'agissant de l'incidence des douleurs dont se plaint encore le recourant sur sa capacité de travail, la Cour relève ce qui suit. L'assurance-accidents du recourant a procédé à une instruction approfondie du cas. Certes, l’assureur accident et la Cour ont alors examiné la question sous l’angle de l’existence d’un lien de causalité entre les troubles allégués et l’évènement assuré, mais l’instruction menée et les rapports médicaux détaillés qui ont alors été produits permettent également de se déterminer sur la persistance d’une incapacité de travail au-delà du 30 juin 2010 sans qu’il soit nécessaire de procéder à une expertise complémentaire, comme le requiert le recourant. En effet, le dossier de la SUVA comporte plusieurs expertises correspondant parfaitement aux réquisits jurisprudentiels. Ainsi, l’évaluation de la CRR contient une anamnèse complète, un examen clinique et expose précisément les plaintes du recourant. Les conclusions de cette expertise sont motivées et convaincantes. Il sied donc de lui reconnaître une pleine valeur probante. Or, ladite évaluation conclut clairement à l’absence de toute limitation de l’appareil locomoteur, de lésion anatomique objectivable ou encore de séquelles neuropsychologiques. Les médecins de la CRR, dont le Dr H__________ a expliqué en audience qu’ils étaient mieux à même qu’un médecin-conseil d’évaluer l’exigibilité de telle ou telle activité, ont estimé que l’assuré pouvait reprendre ses</w:t>
      </w:r>
    </w:p>
    <w:p>
      <w:r>
        <w:t>A/47/2012 - 11/12 - activités habituelles, y compris professionnelles, dans des délais relativement courts. L’expertise réalisée par le Dr I__________ peut également – pour les mêmes raisons – se voir reconnaître pleine valeur probante. Or, le médecin a de manière très claire exclut toute symptomatologie psychiatrique significative justifiant une incapacité de travail. Les autres rapports médicaux versés au dossier ne permettent pas d'aboutir à une conclusion différente. Ainsi, le Dr E__________, neurologue, a confirmé que l’examen clinique était normal. Ce médecin a d’ailleurs insisté sur le caractère bénin de la problématique. Quant aux rapports du médecin traitant du recourant, force est de constater qu’ils ne font que relayer les plaintes de son patient, sans motiver de manière concluante l’incapacité de travail alléguée. Ainsi, quand bien même l'expertise de la CRR a été réalisée afin de déterminer si l'incapacité de travail du recourant était en lien de causalité avec un accident, l'intimée était fondée à s'appuyer sur ses conclusions claires s'agissant de la capacité du recourant à exercer son activité habituelle. Reste à examiner la question de savoir si le traitement prescrit au recourant contre- indique la reprise de son activité – laquelle implique la conduite d’un véhicule. C’est là la principale raison invoquée par le Dr J__________ pour justifier l’incapacité de travail. Il s’est pourtant avéré, lors du dosage sérique auquel a procédé le Dr M__________, que le recourant ne prenait pas le traitement en question. Les explications de l’intéressé sur ce point s’avèrent peu convaincantes dans la mesure où elles ont varié dans le temps : au Dr M__________, le recourant s’est contenté d’indiquer qu’il souffrait d’une gastro-entérite débutée un jour auparavant, puis, devant la Cour de céans, il a affirmé avoir interrompu son traitement sur avis de son médecin – allégation au demeurant nullement étayée – et a fait remonter le début de la gastro-entérite invoquée à quelques jours plus tôt que précédemment. Au demeurant, le Dr H__________ a indiqué s’être dûment posé la question de l’influence de la prise de médicament s et avoir considéré, qu’en l’espèce, au vu des doses prescrites, il n’y avait pas de contre-indication à la conduite d’un véhicule. Eu égard aux considérations qui précèdent, c’est à juste titre que l’intimée a considéré qu’au-delà du 30 juin 2010, ne subsistait plus aucune incapacité à exercer la profession habituelle. Le recours est donc rejeté.</w:t>
      </w:r>
    </w:p>
    <w:p>
      <w:r>
        <w:t>A/47/2012 - 12/12 -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