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ATAS/671/2017 vom 14. August 2017</w:t>
      </w:r>
    </w:p>
    <w:p>
      <w:r>
        <w:t>GE Cour de justice, 2017-08-14, FR</w:t>
      </w:r>
    </w:p>
    <w:p>
      <w:r>
        <w:rPr>
          <w:b/>
        </w:rPr>
        <w:t xml:space="preserve">Quelle: </w:t>
      </w:r>
      <w:r>
        <w:t>https://mcp.opencaselaw.ch/entscheid/ge_gerichte_ATAS_671_2017</w:t>
      </w:r>
    </w:p>
    <w:p>
      <w:r>
        <w:t>FR: GE_GERICHTE ATAS/671/2017 du 14 août 2017</w:t>
      </w:r>
    </w:p>
    <w:p>
      <w:r>
        <w:t>IT: GE_GERICHTE ATAS/671/2017 del 14 agosto 2017</w:t>
      </w:r>
    </w:p>
    <w:p>
      <w:pPr>
        <w:pStyle w:val="Heading2"/>
      </w:pPr>
      <w:r>
        <w:t>Erwägungen</w:t>
      </w:r>
    </w:p>
    <w:p>
      <w:r>
        <w:rPr>
          <w:b/>
        </w:rPr>
        <w:t>E. 1</w:t>
      </w:r>
    </w:p>
    <w:p>
      <w:r>
        <w:t>Au 1er janvier 2017 est entrée en vigueur une modification des art. 122 ss du Code Civil (CC) concernant le partage des prestations de sortie des ex-époux, ainsi que des art. 280 ss du Code de procédure civile du 19 décembre 2008 (CPC - RS 272) et 22ss. de la loi fédérale sur le libre passage dans la prévoyance professionnelle vieillesse, survivants et invalidité, du 17 décembre 1993 (loi sur le libre passage, LFLP - RS 831.42). Toutefois, sur le plan matériel, sont en principe applicables les</w:t>
      </w:r>
    </w:p>
    <w:p>
      <w:r>
        <w:t>A/624/2017 3/5 règles de droit en vigueur au moment où les faits juridiquement déterminants se sont produits (ATF 129 V 1 consid. 1; ATF 127 V 467 consid. 1 et les références). En l'occurrence, le divorce a été prononcé sous l'empire de l'ancien droit. Partant, les dispositions légales s'appliquent dans leur ancienne teneur.</w:t>
      </w:r>
    </w:p>
    <w:p>
      <w:r>
        <w:rPr>
          <w:b/>
        </w:rPr>
        <w:t>E. 2</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3</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5</w:t>
      </w:r>
    </w:p>
    <w:p>
      <w:r>
        <w:t>En l’espèce, le juge de première instance a ordonné le partage par moitié des prestations de sortie acquises durant le mariage par les demandeurs. Les dates pertinentes sont, d’une part, celle du mariage, le 22 avril 2006, d’autre part le 31 janvier 2017, date à laquelle le jugement de divorce est devenu exécutoire.</w:t>
      </w:r>
    </w:p>
    <w:p>
      <w:r>
        <w:rPr>
          <w:b/>
        </w:rPr>
        <w:t>E. 6</w:t>
      </w:r>
    </w:p>
    <w:p>
      <w:r>
        <w:t>Selon les documents produits, la prestation acquise pendant le mariage par le demandeur est de CHF 6'402.29 (17'418.53 – 11'016.24), intérêts compris, tandis</w:t>
      </w:r>
    </w:p>
    <w:p>
      <w:r>
        <w:t>A/624/2017 4/5 que celle acquise par la demanderesse est de 0.-. La demanderesse ne disposant pas d’avoirs de prévoyance, le demandeur doit à son ex-épouse le montant de CHF 3’201.15 (6'402.29: 2).</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A/624/2017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