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ATAS/671/2010 vom 16. Juni 2010</w:t>
      </w:r>
    </w:p>
    <w:p>
      <w:r>
        <w:t>GE Cour de justice, 2010-06-16, FR</w:t>
      </w:r>
    </w:p>
    <w:p>
      <w:r>
        <w:rPr>
          <w:b/>
        </w:rPr>
        <w:t xml:space="preserve">Quelle: </w:t>
      </w:r>
      <w:r>
        <w:t>https://mcp.opencaselaw.ch/entscheid/ge_gerichte_ATAS_671_2010</w:t>
      </w:r>
    </w:p>
    <w:p>
      <w:r>
        <w:t>FR: GE_GERICHTE ATAS/671/2010 du 16 juin 2010</w:t>
      </w:r>
    </w:p>
    <w:p>
      <w:r>
        <w:t>IT: GE_GERICHTE ATAS/671/2010 del 16 giugno 2010</w:t>
      </w:r>
    </w:p>
    <w:p>
      <w:pPr>
        <w:pStyle w:val="Heading2"/>
      </w:pPr>
      <w:r>
        <w:t>Erwägungen</w:t>
      </w:r>
    </w:p>
    <w:p>
      <w:r>
        <w:rPr>
          <w:b/>
        </w:rPr>
        <w:t>E. 1</w:t>
      </w:r>
    </w:p>
    <w:p>
      <w:r>
        <w:t>La compétence du Tribunal de céans ainsi que la recevabilité du recours ont déjà été examinées et admises dans le cadre de l’ordonnance d’expertise, de sorte qu’il n’y a pas lieu d’y revenir.</w:t>
      </w:r>
    </w:p>
    <w:p>
      <w:r>
        <w:rPr>
          <w:b/>
        </w:rPr>
        <w:t>E. 2</w:t>
      </w:r>
    </w:p>
    <w:p>
      <w:r>
        <w:t>La LPGA est entrée en vigueur le 1er janvier 2003, entraînant la modification de nombreuses dispositions légales dans le domaine des assurances sociales. Le 1er janvier 2008 est entrée en force la novelle du 6 octobre 2006 (5ème révision AI).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ce qui a trait plus particulièrement à l’application des dispositions nouvelles de la LAI, la lettre-circulaire n° 253 du 12 décembre 2007 de l’Office fédéral des assurances sociales (OFAS) reprend le principe ci-dessus évoqué. En effet, elle expose clairement que si le cas d’assurance survient avant le 1er janvier 2008, c’est l’ancien droit qui est applicable. Si la survenance du cas d’assurance a lieu par contre ultérieurement, c’est le nouveau droit qui trouve application, des facteurs externes aléatoires telle la date de dépôt de la demande ou de la décision se révélant sans influence. Toutefois, lorsque le délai d’attente a commencé à courir avant le 1er janvier 2008 et est parvenu à échéance dans l’année 2008, l’ancien droit demeure applicable pour autant que la demande ait été déposée le 31 décembre 2008 au plus tard.</w:t>
      </w:r>
    </w:p>
    <w:p>
      <w:r>
        <w:rPr>
          <w:b/>
        </w:rPr>
        <w:t>E. 3</w:t>
      </w:r>
    </w:p>
    <w:p>
      <w:r>
        <w:t>Le litige porte sur le droit du recourant à des prestations de l’assurance-invalidité, plus particulièrement le droit à une rente.</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w:t>
      </w:r>
    </w:p>
    <w:p>
      <w:r>
        <w:t>A/1865/2009 - 7/12 -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5</w:t>
      </w:r>
    </w:p>
    <w:p>
      <w:r>
        <w:t>Les atteintes à la santé psychique peuvent, comme les atteintes physiques, entraîner une invalidité au sens de l’art. 4 al. 1er LAI en liaison avec l’art. 8 LPGA.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La reconnaissance de l’existence d'une atteinte à la santé psychique suppose d’abord la présence d’un diagnostic émanant d’un expert (psychiatre) et s’appuyant lege artis sur les critères d’un système de classification reconnu (ATF 130 V 396 consid. 5.3 et consid. 6).</w:t>
      </w:r>
    </w:p>
    <w:p>
      <w:r>
        <w:t>A/1865/2009 - 8/12 -</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w:t>
      </w:r>
    </w:p>
    <w:p>
      <w:r>
        <w:t>A/1865/2009 - 9/12 -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Enfin,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7</w:t>
      </w:r>
    </w:p>
    <w:p>
      <w:r>
        <w:t>En l’occurrence, le Tribunal de céans a ordonné une expertise judiciaire afin de déterminer si le recourant souffre d’une pathologie psychiatrique et, le cas échéant, quelles en sont les conséquences sur sa capacité de travail. Dans son rapport d’expertise du 23 mars 2010, la Dresse G___________ expose avoir eu trois entretiens d’une heure minimum avec le recourant, un entretien de quinze minutes avec le fils aîné ainsi que des entretiens téléphoniques avec divers praticiens ayant suivi le recourant. Elle a pris connaissance de l’entier du dossier médical et a fait par ailleurs pratiquer divers examens médicaux et de laboratoire. L’expertise comporte une anamnèse familiale, personnelle et professionnelle complète, une anamnèse circonstancielle détaillée, complétée par les éléments du dossier, un status psychiatrique ainsi qu’une analyse et une discussion minutieuse du cas au vu de l’examen clinique et des résultats des examens complémentaires pratiqués. Sur le plan psychiatrique, l’expert a diagnostiqué un psychosyndrome organique qui a valeur de maladie au sens de la CIM-10, inclus dans les troubles organiques de la personnalité et du comportement dû à une maladie, une lésion ou un dysfonctionnement cérébral. A cet égard, elle a précisé qu’elle suspectait un possible syndrome de Sjögren qui nécessite cependant d’autres investigations somatiques, relevant que le recourant présentait une hypokaliémie et une hypovitaminose D. Selon l’expert, si ce diagnostic est confirmé, il permettrait d’expliquer la quasi totalité de la sémiologie et de proposer un traitement</w:t>
      </w:r>
    </w:p>
    <w:p>
      <w:r>
        <w:t>A/1865/2009 - 10/12 - approprié qui résoudrait bon nombre de troubles. Elle a ensuite expliqué de façon convaincante qu’il n’y a pas de majoration délibérée de la symptomatologie psychique, les divers symptômes présentés par le recourant en étant l’expression ; l’expert a par ailleurs souligné que dans le cas d’espèce, la difficulté diagnostique réside dans l’intervention de différents spécialistes, car chacun considère le tableau clinique selon sa spécialité, alors que cette entité nosologique requiert une vue globale, sans dichotomie. Elle a conclu que les limitations psychiques du recourant relèvent des troubles du comportement et de l’interaction sociale, ainsi que de l’apragmatisme. Au vu du dossier, lesdites limitations existaient déjà en juin 2007 pour la grande majorité des symptômes. La capacité de travail actuelle est qualitativement et quantitativement nulle ; selon l’expert, le status psychiatrique relevé en avril 2007 dans l’expertise du CEMed, malgré les allégations de l’expert quant à l’absence de diagnostic, sinon la simulation, permet de voir les prodromes du diagnostic retenu, de sorte que l’incapacité de travail pour des raisons psychiatriques remonte à avril, voire mai 2007. L’expert expose enfin que la capacité de travail pourrait être améliorée par des mesures médicales, mais que l’atteinte systémique d’une connectivité tel le syndrome de Sjögren (qui reste à confirmer) constitue un facteur de mauvais pronostic, à plus forte raison s’il s’agit d’une atteinte cérébrale. Le Tribunal de céans n’a aucune raison de s’écarter des conclusions de l’expertise réalisée par la Dresse G___________. En effet, l’expertise judiciaire, complète et extrêmement fouillée, assortie de conclusions claires, motivées et convaincantes, remplit tous les réquisits jurisprudentiels pour se voir attribuer pleine valeur probante, ce que l’intimé ne conteste au demeurant pas. Il convient ainsi d’admettre que le recourant présente, depuis le mois d’avril 2007, une incapacité de travail totale, pour des raisons psychiatriques, dans toute activité, étant rappelé que les troubles somatiques et algiques diagnostiqués en 2006 n’entraînent pas d’incapacité de travail durable. Au vu de ce qui précède, le recourant présente un degré d’invalidité de 100 % ouvrant droit à une rente entière d’invalidité (cf. art. 28 al. 2 LAI).</w:t>
      </w:r>
    </w:p>
    <w:p>
      <w:r>
        <w:rPr>
          <w:b/>
        </w:rPr>
        <w:t>E. 8</w:t>
      </w:r>
    </w:p>
    <w:p>
      <w:r>
        <w:t>Reste à déterminer l’ouverture du droit à la rente. Selon l’art. 29 al. 1 LAI, en sa teneur en vigueur jusqu’au 31 décembre 2007, le droit à la rente prend naissance au plus tôt à la date dès laquelle l’assuré a présenté, en moyenne, une incapacité de travail de 40 % au moins pendant une année sans interruption notable (art. 6 LPGA), soit en l’espèce, en avril 2008 et non pas dès le mois de juin 2007 comme le souhaite le recourant. En l’occurrence, le délai de carence a commencé à courir dès le mois d’avril 2007. Dès lors que le délai de carence était échu le 1er avril 2008 et que la demande de prestations a été déposée avant le 31 décembre 2008, la rente peut être versée dès</w:t>
      </w:r>
    </w:p>
    <w:p>
      <w:r>
        <w:t>A/1865/2009 - 11/12 - l’échéance du délai d’attente, en dérogation à l’art. 29 al. 1 nLAI (cf. Lettre- circulaire n° 253 de l’OFAS, du 12 décembre 2007, op. cit.). Il s’ensuit que le recourant a droit à une rente entière d’invalidité dès le mois d’avril 2008.</w:t>
      </w:r>
    </w:p>
    <w:p>
      <w:r>
        <w:rPr>
          <w:b/>
        </w:rPr>
        <w:t>E. 9</w:t>
      </w:r>
    </w:p>
    <w:p>
      <w:r>
        <w:t>L’intimé conclut au renvoi de la cause pour instruction complémentaire, dès lors que l’état de santé du recourant n’est pas stabilisé et qu’un traitement adapté devrait être mis en place. Ces considérations ne changent rien au fait que le recourant, au moment de la décision litigieuse et à l’échéance du délai d’une année, présente un degré d’invalidité de 100%. La question de savoir si la capacité de gain pourrait être améliorée une fois mis en place un traitement adapté - ce qui restera à vérifier après précision du diagnostic somatique - relève en effet, le cas échéant, de la révision.</w:t>
      </w:r>
    </w:p>
    <w:p>
      <w:r>
        <w:rPr>
          <w:b/>
        </w:rPr>
        <w:t>E. 10</w:t>
      </w:r>
    </w:p>
    <w:p>
      <w:r>
        <w:t>Le recours est partiellement admis.</w:t>
      </w:r>
    </w:p>
    <w:p>
      <w:r>
        <w:rPr>
          <w:b/>
        </w:rPr>
        <w:t>E. 11</w:t>
      </w:r>
    </w:p>
    <w:p>
      <w:r>
        <w:t>Le recourant, représenté par un mandataire, a droit à une indemnité à titre de participation à ses frais et dépens, que le Tribunal fixe en l’espèce à 3’000 fr. (art. 89H al. 3 de la loi sur la procédure administrative, du 12 septembre 1985 - LPA ; RS E 5 10).</w:t>
      </w:r>
    </w:p>
    <w:p>
      <w:r>
        <w:rPr>
          <w:b/>
        </w:rPr>
        <w:t>E. 12</w:t>
      </w:r>
    </w:p>
    <w:p>
      <w:r>
        <w:t>L’émolument, arrêté à 1’000 fr., est mis à la charge de l’intimé (art. 69 al. 1bis LAI).</w:t>
      </w:r>
    </w:p>
    <w:p>
      <w:r>
        <w:t>A/1865/2009 - 12/12 -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