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ATAS/670/2025 vom 8. September 2025</w:t>
      </w:r>
    </w:p>
    <w:p>
      <w:r>
        <w:t>GE Cour de justice, 2025-09-08, FR</w:t>
      </w:r>
    </w:p>
    <w:p>
      <w:r>
        <w:rPr>
          <w:b/>
        </w:rPr>
        <w:t xml:space="preserve">Quelle: </w:t>
      </w:r>
      <w:r>
        <w:t>https://mcp.opencaselaw.ch/entscheid/ge_gerichte_ATAS_670_2025</w:t>
      </w:r>
    </w:p>
    <w:p>
      <w:r>
        <w:t>FR: GE_GERICHTE ATAS/670/2025 du 8 septembre 2025</w:t>
      </w:r>
    </w:p>
    <w:p>
      <w:r>
        <w:t>IT: GE_GERICHTE ATAS/670/2025 del 8 settembre 2025</w:t>
      </w:r>
    </w:p>
    <w:p>
      <w:pPr>
        <w:pStyle w:val="Heading2"/>
      </w:pPr>
      <w:r>
        <w:t>Erwägungen</w:t>
      </w:r>
    </w:p>
    <w:p>
      <w:r>
        <w:rPr>
          <w:b/>
        </w:rPr>
        <w:t>E. 1</w:t>
      </w:r>
    </w:p>
    <w:p>
      <w:r>
        <w:t>Conformément à l'art. 134 al. 1 let. b de la loi sur l'organisation judiciaire du 26 septembre 2010 (LOJ - E 2 05), la chambre des assurances sociales de la Cour</w:t>
      </w:r>
    </w:p>
    <w:p>
      <w:r>
        <w:t>A/790/2025 4/7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 LPP - RS 831.40 ; art. 142 du Code civil du 16 décembre 1907 - CC - RS 210).</w:t>
      </w:r>
    </w:p>
    <w:p>
      <w:r>
        <w:rPr>
          <w:b/>
        </w:rPr>
        <w:t>E. 2.1</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w:t>
      </w:r>
    </w:p>
    <w:p>
      <w:r>
        <w:rPr>
          <w:b/>
        </w:rPr>
        <w:t>E. 2.2</w:t>
      </w:r>
    </w:p>
    <w:p>
      <w:r>
        <w:t>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3.1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de la Cour de justice, exécute d’office, après que l’affaire lui a été transmise (art. 281 al. 3 CPC), le partage sur la base de la clé de répartition déterminée par le juge du divorce.</w:t>
      </w:r>
    </w:p>
    <w:p>
      <w:r>
        <w:rPr>
          <w:b/>
        </w:rPr>
        <w:t>E. 3.2</w:t>
      </w:r>
    </w:p>
    <w:p>
      <w:r>
        <w:t>Selon l'art. 22 LFLP (dans sa teneur en vigueur depuis le 1er janvier 2017), en cas de divorce, les prestations de sortie et les parts de rente sont partagées conformément aux art. 122 à 124e CC et 280 et 281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3.3</w:t>
      </w:r>
    </w:p>
    <w:p>
      <w:r>
        <w:t>En cas de divorce ou de dissolution judiciaire du partenariat enregistré avant la survenance d'un cas de prévoyance, le versement anticipé est considéré comme une prestation de libre passage ; il est partagé conformément aux art. 123 CC, 280 et 281 CPC et 22 à 22b LFLP (art. 30c al. 6 LPP, dans sa teneur en vigueur depuis</w:t>
      </w:r>
    </w:p>
    <w:p>
      <w:r>
        <w:t>A/790/2025 5/7 le 1er janvier 2017).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22a al. 3 LFLP).</w:t>
      </w:r>
    </w:p>
    <w:p>
      <w:r>
        <w:rPr>
          <w:b/>
        </w:rPr>
        <w:t>E. 3.4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1% de 2017 à 2023 et 1.25% dès le 1er janvier 2024. Si le règlement de l'institution de prévoyance prévoit un taux d'intérêt supérieur pour l'avoir de vieillesse, ce taux est alors applicable (arrêt du Tribunal fédéral 9C_149/2017 du 10 octobre 2017 consid. 5.1).</w:t>
      </w:r>
    </w:p>
    <w:p>
      <w:r>
        <w:rPr>
          <w:b/>
        </w:rPr>
        <w:t>E. 3.5</w:t>
      </w:r>
    </w:p>
    <w:p>
      <w:r>
        <w:t>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w:t>
      </w:r>
    </w:p>
    <w:p>
      <w:r>
        <w:rPr>
          <w:b/>
        </w:rPr>
        <w:t>E. 4.1</w:t>
      </w:r>
    </w:p>
    <w:p>
      <w:r>
        <w:t>En l’espèce, le juge de première instance a ordonné le partage par moitié des prestations de sortie acquises durant le mariage par les demandeurs. Les dates pertinentes sont, d’une part, celle du mariage, le ______ 2002, d’autre part, le 23 octobre 2020, date à laquelle la demande en divorce a été déposée.</w:t>
      </w:r>
    </w:p>
    <w:p>
      <w:r>
        <w:rPr>
          <w:b/>
        </w:rPr>
        <w:t>E. 4.2</w:t>
      </w:r>
    </w:p>
    <w:p>
      <w:r>
        <w:t>Selon les documents produits, la prestation acquise pendant le mariage par le demandeur est de CHF 190'941.84 (CHF 203'554.98 - CHF 12'613.14). Celle acquise par la demanderesse est de CHF 70'139.- (CHF 83'027.- - CHF 12'888.-), les intérêts ayant déjà été calculés par les institutions de prévoyance défenderesses. Ainsi le demandeur doit à son ex-épouse le montant de CHF 95'470.90 (CHF 190'941.84 : 2) et celle-ci doit à celui-là le montant de CHF 35'069.50 (CHF 70'139.- : 2), de sorte que c’est le demandeur qui doit à la demanderesse le montant de CHF 60'401.40.</w:t>
      </w:r>
    </w:p>
    <w:p>
      <w:r>
        <w:rPr>
          <w:b/>
        </w:rPr>
        <w:t>E. 5</w:t>
      </w:r>
    </w:p>
    <w:p>
      <w:r>
        <w:t>Conformément à la jurisprudence, depuis le jour déterminant pour le partage jusqu'au moment du transfert de la prestation de sortie ou de la demeure, le</w:t>
      </w:r>
    </w:p>
    <w:p>
      <w:r>
        <w:t>A/790/2025 6/7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(LPA - E 5 10). ***</w:t>
      </w:r>
    </w:p>
    <w:p>
      <w:r>
        <w:t>A/790/2025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