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ATAS/670/2020 vom 18. August 2020</w:t>
      </w:r>
    </w:p>
    <w:p>
      <w:r>
        <w:t>GE Cour de justice, 2020-08-18, FR</w:t>
      </w:r>
    </w:p>
    <w:p>
      <w:r>
        <w:rPr>
          <w:b/>
        </w:rPr>
        <w:t xml:space="preserve">Quelle: </w:t>
      </w:r>
      <w:r>
        <w:t>https://mcp.opencaselaw.ch/entscheid/ge_gerichte_ATAS_670_2020</w:t>
      </w:r>
    </w:p>
    <w:p>
      <w:r>
        <w:t>FR: GE_GERICHTE ATAS/670/2020 du 18 août 2020</w:t>
      </w:r>
    </w:p>
    <w:p>
      <w:r>
        <w:t>IT: GE_GERICHTE ATAS/670/2020 del 18 agosto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Sur le plan temporel, sont en principe applicables – sous réserve d'une règle contraire de droit transitoire – les dispositions en vigueur au moment où les faits juridiquement déterminants se sont produits ou au moment de l'état de fait ayant des conséquences juridiques (ATF 130 V 445 consid. 1.2.1; ATF 140 V 41 consid. 6.3.1; arrêt du Tribunal fédéral des assurances U 18/07 du 7 février 2008 consid. 1.2). Cette solution constitue, de par sa portée générale, un principe de droit intertemporel applicable à tous les rapports de droit et donc aussi aux prestations durables (ATF 130 V 445 c. 1.2.1; SVR 2010 IV N° 59 c. 3.1). La LPC du 6 octobre 2006 est entrée en vigueur le 1er janvier 2008. Elle abroge et remplace la LPC du 19 mars 1965 (aLPC). Pour les prestations complémentaires cantonales, la novelle du 13 décembre 2007 est également entrée en vigueur le 1er janvier 2008. Elle modifie la LPCC du 25 octobre 1968 (aLPCC). Les nouvelles lois sont applicables en l'espèce, puisque la présente procédure porte sur les</w:t>
      </w:r>
    </w:p>
    <w:p>
      <w:r>
        <w:t>A/697/2020 - 6/17 - conséquences du versement de prestations indues pour une période postérieure à l'entrée en vigueur du nouveau droit (ATF 127 V 466 consid. 1; arrêt du Tribunal fédéral 8C_68/2008 du 27 janvier 2009 consid. 4.1).</w:t>
      </w:r>
    </w:p>
    <w:p>
      <w:r>
        <w:rPr>
          <w:b/>
        </w:rPr>
        <w:t>E. 4</w:t>
      </w:r>
    </w:p>
    <w:p>
      <w:r>
        <w:t>a. En matière de prestations complémentaires fédérales, les décisions sur opposition sont sujettes à recours dans un délai de 30 jours (art. 56 al. 1 et 60 al. 1er LPGA ; art. 9 de la loi cantonale du 14 octobre 1965 sur les prestations fédérales complémentaires à l'assurance-vieillesse et survivants et à l'assurance-invalidité [LPCF]) auprès du tribunal des assurances du canton de domicile de l'assuré (art. 5 al. 1 LPGA). S'agissant des prestations complémentaires cantonales, l'art. 43 LPCC ouvre les mêmes voies de droit. Aux termes de l'art. 30 LPGA, tous les organes de mise en œuvre des assurances sociales ont l'obligation d'accepter les demandes, requêtes ou autres documents qui leur parviennent par erreur. Ils en enregistrent la date de réception et les transmettent à l'organe compétent. La seule exception à cette obligation est donnée lorsque le fait de s'adresser à une autorité incompétente a été consciemment voulu par l'expéditeur (Ueli KIESER, ATSG-Kommentar, 2009, n° 13 ad art. 30 LPGA). Selon l'art. 39 al. 2 LPGA en corrélation avec l'art. 60 al. 2 LPGA, lorsqu'une partie s'adresse en temps utile à un assureur incompétent, le délai est réputé observé. Ces dispositions ne sont que l'expression, en droit des assurances sociales, d'un principe général du droit administratif, reconnu par la doctrine, et consacré à maintes reprises par la jurisprudence (arrêt du Tribunal fédéral 9C_1054/2008 du 11 mai 2009 consid. 2.1 et les références). b. En l’occurrence, le recourant a contesté auprès de l’intimé la décision sur opposition du 14 janvier 2020, par courrier daté du 11 février 2020 et envoyé par recommandé le 14 février 2020, de sorte qu’il a agi en temps utile. Il sera encore relevé que cette missive du recourant, bien qu’intitulée « Votre décision du 14 janvier 2020 dossier 1______ contre mon opposition formulée », contient des arguments portant sur le bien-fondé de la demande de restitution. Elle doit donc être considérée comme un recours à l’encontre de la décision sur opposition. Interjeté dans les forme et délai légaux, le recours est recevable.</w:t>
      </w:r>
    </w:p>
    <w:p>
      <w:r>
        <w:rPr>
          <w:b/>
        </w:rPr>
        <w:t>E. 5</w:t>
      </w:r>
    </w:p>
    <w:p>
      <w:r>
        <w:t>Le litige porte sur le droit de l'intimé de réclamer au recourant la restitution d'un montant de CHF 14'396.- à titre de prestations versées en trop du 1er mai 2012 au 30 avril 2019. L'examen de la remise de l'obligation de restituer les prestations, soit celui des conditions de la bonne foi et de la situation difficile, fait l'objet d'une procédure distincte, dans la mesure où la demande ne peut être traitée sur le fond que si la décision de restitution est entrée en force (cf. art. 4 al. 2 de l'ordonnance sur la partie générale du droit des assurances sociales du 11 septembre 2002 [OPGA - RS 830.11] ; arrêt du Tribunal fédéral des assurances P 59/06 du 5 décembre 2007 consid. 3 ; arrêt du Tribunal fédéral des assurances P 63/06 du 14 mars 2007</w:t>
      </w:r>
    </w:p>
    <w:p>
      <w:r>
        <w:t>A/697/2020 - 7/17 - consid. 3 ; voir aussi art. 5C al. 2 de la loi sur les prestations fédérales complémentaires à l’assurance-vieillesse et survivants et à l’assurance-invalidité du 14 octobre 1965 [LPFC - J 4 20] et art. 15 du règlement cantonal relatif aux prestations cantonales complémentaires à l'assurance-vieillesse et survivants et à l'assurance-invalidité du 25 juin 1999 [RPCC-AVS/AI - J 4 25.03]).</w:t>
      </w:r>
    </w:p>
    <w:p>
      <w:r>
        <w:rPr>
          <w:b/>
        </w:rPr>
        <w:t>E. 6</w:t>
      </w:r>
    </w:p>
    <w:p>
      <w:r>
        <w:t>a. Selon l'art. 25 al. 1 1ère phrase LPGA, en relation avec l'art. 2 al. 1 let. a OPGA, les prestations complémentaires fédérales indûment touchées doivent être restituées par le bénéficiaire ou par ses héritiers.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 b. Au niveau cantonal, l'art. 24 al. 1 1ère phrase LPCC prévoit que les prestations indûment touchées doivent être restituées. L'art. 14 RPCC-AVS/AI précise que le SPC doit demander la restitution des prestations indûment touchées au bénéficiaire, à ses héritiers ou aux autres</w:t>
      </w:r>
    </w:p>
    <w:p>
      <w:r>
        <w:t>A/697/2020 - 8/17 - personnes mentionnées à l'art. 2 OPGA appliqué par analogie (al. 1). Il fixe l'étendue de l'obligation de restituer par décision (al. 2).</w:t>
      </w:r>
    </w:p>
    <w:p>
      <w:r>
        <w:rPr>
          <w:b/>
        </w:rPr>
        <w:t>E. 7</w:t>
      </w:r>
    </w:p>
    <w:p>
      <w:r>
        <w:t>En l'espèce, lors de la révision périodique du dossier du recourant, l'intimé a constaté une évolution de la fortune de l'intéressé, suffisamment importante pour justifier une révision, avec effet ex tunc, des décisions d'octroi de prestations complémentaires erronées.</w:t>
      </w:r>
    </w:p>
    <w:p>
      <w:r>
        <w:rPr>
          <w:b/>
        </w:rPr>
        <w:t>E. 8</w:t>
      </w:r>
    </w:p>
    <w:p>
      <w:r>
        <w:t>a. En vertu de l'art. 25 al. 2 1ère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Si la créance naît d'un acte punissable pour lequel le droit pénal prévoit un délai de prescription plus long, celui-ci est déterminant. b.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(ATF 140 IV 206 consid. 6.2 ; voir également arrêt du Tribunal fédéral 8C_592/2007 du 20 août 2008 consid. 5.3 et les références). c. En l'absence d'un jugement pénal, il appartient au juge administratif d'examiner à titre préjudiciel si les circonstances correspondant à une infraction pénale sont réunies. Ce faisant, ce sont les exigences en matière de preuve dans la procédure pénale qui sont applicables, de sorte que le degré de vraisemblance prépondérante applicable en assurances sociales ne suffit pas. L'autorité qui invoque le délai de prescription pénale doit en tous les cas produire des éléments démontrant le comportement punissable (ATF 138 V 74 consid. 6.1). Un acte punissable au sens de l'art. 25 al. 2, 2ème phrase LPGA, suppose la réunion des éléments tant objectifs que subjectifs de l'infraction (arrêt du Tribunal fédéral 8C_213/2016 du 4 novembre 2016 consid. 5.2). d. Dans le domaine des prestations complémentaires, ce sont principalement les art. 31 LPC (art. 16 aLPC), 146 et 148a du Code pénal suisse du 21 décembre 1937 (CP ; RS 311.0)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pour la violation du devoir d'informer. Quant à l'art. 146 al. 1 CP, il sanctionne l'infraction</w:t>
      </w:r>
    </w:p>
    <w:p>
      <w:r>
        <w:t>A/697/2020 - 9/17 - d'escroquerie d'une peine privative de liberté de cinq ans au plus ou d'une peine pécuniaire. L'art. 31 al. 1 LPC prévoit qu'est puni, à moins qu'il ne s'agisse d'un crime ou d'un délit frappé d'une peine plus élevée par le code pénal, d'une peine pécuniaire n'excédant pas 180 jours-amende : - celui qui, par des indications fausses ou incomplètes, ou de toute autre manière, obtient d'un canton ou d'une institution d'utilité publique, pour lui-même ou pour autrui, l'octroi indu d'une prestation au sens de la présente loi (let. a) ; - celui qui, par des indications fausses ou incomplètes, ou de toute autre manière, obtient sans droit une subvention au sens de la présente loi (let. b) ; - celui qui n'observe pas l'obligation de garder le secret ou abuse, dans l'application de la présente loi, de sa fonction ou tire avantage de sa situation professionnelle au détriment de tiers ou pour son propre profit (let. c) ; - celui qui manque à son obligation de communiquer (let. d). L'infraction visée à l'art. 31 al. 1 LPC consiste en l'obtention du paiement de prestations complémentaires par des indications trompeuses. Cette infraction est réalisée lors du premier paiement de la prestation complémentaire. C'est à ce moment que tous les éléments objectifs et subjectifs sont réalisés (ATF 138 V 74 consid. 5.1). Sur le plan subjectif, l'art. 31 al. 1 LPC suppose un agissement intentionnel de l'auteur. Il convient donc d'examiner s'il a agi avec conscience et volonté. L'auteur agit déjà intentionnellement lorsqu'il tient pour possible la réalisation de l'infraction et l'accepte au cas où elle se produirait (art. 12 al. 1 et 2 CP applicable par renvoi de l'art. 333 al. 1 CP). L'intention doit porter sur tous les éléments constitutifs de l'infraction. L'auteur doit en outre avoir agi dans le dessein de se procurer ou de procurer à un tiers un enrichissement illégitime, correspondant au dommage de la dupe (ATF 134 IV 210 consid. 5.3). Pour apprécier s'il y a dol éventuel au sens de l'art. 12 al. 2, 2ème phrase CP, il y a lieu, en l'absence d'aveu, de se fonder sur les circonstances du cas d'espèce. En font partie l'importance du risque de réaliser l'infraction dont l'auteur avait conscience, la gravité de la violation du devoir de diligence par celui-ci, ses mobiles ainsi que la manière dont il a agi. On conclura d'autant plus aisément au fait que l'auteur de l'infraction a tenu pour possible la réalisation de l'infraction et l'a acceptée pour le cas où elle se produirait à mesure que s'accroît la probabilité de réaliser les éléments constitutifs objectifs d'une infraction et que s'aggrave la violation du devoir de diligence (ATF 138 V 74 consid. 8.4.1). L'infraction visée à l'art. 31 al. 1 LPC peut aussi être commise par un comportement passif, contraire à une obligation d'agir (art. 11 al. 1 CP). Tel est le cas, lorsque l'auteur n'empêche pas la lésion du bien juridique protégé, bien qu'il y soit tenu à raison de sa situation juridique, notamment en vertu de la loi ou d'un contrat (cf. art.</w:t>
      </w:r>
    </w:p>
    <w:p>
      <w:r>
        <w:t>A/697/2020 - 10/17 -</w:t>
      </w:r>
    </w:p>
    <w:p>
      <w:r>
        <w:rPr>
          <w:b/>
        </w:rPr>
        <w:t>E. 11</w:t>
      </w:r>
    </w:p>
    <w:p>
      <w:r>
        <w:t>consid. 2.4 ; 131 IV 83 consid. 2.1.3). e. L'assuré qui, en vertu de l'art. 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 il n'est en effet plus question alors d'une escroquerie par omission, mais d'une tromperie active (ATF 140 IV 11 consid. 2.4.1 et consid. 2.4.6 in fine ; voir également arrêt du Tribunal fédéral 6B_791/2013 du 3 mars 2014 consid. 3.1.1). Selon la jurisprudence du Tribunal fédéral, les indications écrites fournies chaque année à un titulaire de prestations complémentaires relatives à l'obligation de communiquer tout changement de circonstances doivent être comprises comme une exhortation à annoncer la survenance de telles modifications. Celui qui, après avoir dissimulé à l'administration une partie de ses revenus, ignore ces communications annuelles, tait l'existence d'éléments pertinents pour l'octroi de prestations. Ce faisant, il exprime tacitement, de façon mensongère vis-à-vis des autorités, que sa situation, respectivement les conditions pour le versement des prestations ne se sont pas modifiées. Son silence revient sur ce point à une déclaration expresse (silence qualifié), lui faisant commettre ainsi à chaque fois une tromperie par commission (ATF 131 IV 83 consid. 2.2 et 2.5 ; arrêt du Tribunal fédéral 9C_232/2013 du</w:t>
      </w:r>
    </w:p>
    <w:p>
      <w:r>
        <w:rPr>
          <w:b/>
        </w:rPr>
        <w:t>E. 13</w:t>
      </w:r>
    </w:p>
    <w:p>
      <w:r>
        <w:t>novembre 1985 - RS 831.461.3) n'a pas à être prise en considération aussi longtemps qu'il n'est pas possible de verser la prestation de prévoyance. b. Selon l'art. 16 de l'ordonnance sur le libre passage dans la prévoyance professionnelle vieillesse, survivants et invalidité du 3 octobre 1994 (ordonnance sur le libre passage, OLP - RS 831.425), les prestations de vieillesse dues en vertu des polices et des comptes de libre passage peuvent être versées au plus tôt cinq ans avant que l'assuré n'atteigne l'âge ordinaire de la retraite visé à l'art. 13 al. 1 de la loi fédérale sur la prévoyance professionnelle vieillesse, survivants et invalidité du 25 juin 1982 (LPP - RS 831.40) et au plus tard cinq ans après (al. 1) ; si l'assuré perçoit une rente entière d'invalidité de l'assurance fédérale et si le risque d'invalidité n'est pas assuré à titre complémentaire au sens de l'art. 10 al. 2 et 3 phr. 2, la prestation de vieillesse lui est versée plus tôt, sur sa demande (al. 2 ; arrêt du Tribunal fédéral 9C_612/2012 du 28 novembre 2012 consid. 3.3 ; arrêt du Tribunal fédéral des assurances P 56/05 du 29 mai 2006 consid. 3).</w:t>
      </w:r>
    </w:p>
    <w:p>
      <w:r>
        <w:rPr>
          <w:b/>
        </w:rPr>
        <w:t>E. 14</w:t>
      </w:r>
    </w:p>
    <w:p>
      <w:r>
        <w:t>a.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15</w:t>
      </w:r>
    </w:p>
    <w:p>
      <w:r>
        <w:t>En l'espèce, lors de la révision du droit aux prestations complémentaires du recourant, l'intimé s'est fondé sur les valeurs actualisées des avoirs de prévoyance professionnelle et d'épargne de l'intéressé. a. S'agissant en particulier des avoirs de prévoyance professionnelle du recourant, l'intimé les a, à juste titre, pris en compte dans la mesure où le recourant bénéficie d'une rente AI entière lui permettant de solliciter le versement anticipé de prestations de prévoyance.</w:t>
      </w:r>
    </w:p>
    <w:p>
      <w:r>
        <w:t>A/697/2020 - 15/17 - Il est ainsi loisible au recourant de demander l'octroi de telles prestations, ce dès lors que son capital lui est disponible, d'une part, et qu'il doit en principe tout mettre en œuvre pour réduire le dommage, d'autre part. b. Quant à la valeur globale de la fortune du recourant, elle a effectivement varié durant la période visée par la révision, ce qui ressort des différents documents reçus par l'intimé, en particulier les relevés fiscaux et bancaires et les décomptes des deux comptes de libre passage du recourant. Comme relevé précédemment, les évolutions subséquentes de la fortune du recourant constituent des éléments suffisamment importants pour fonder une révision du droit aux prestations. Cependant, dans le cadre de cette révision, l'intimé a commis quelques erreurs sur les montants retenus à titre de fortune. S'agissant d'abord de l'épargne, l'intimé a systématiquement additionné le montant de CHF 1'944.-, à savoir la valeur qui apparaissait sur les anciennes décisions de l'intimé, aux montants de la fortune nette fiscale du recourant. Or, ce montant de CHF 1'944.- correspondait au solde final pour l'année 2006 du relevé de compte bancaire UBS du recourant, compte dont la valeur est déjà intégrée à la fortune fiscale du recourant. Partant, l'épargne du recourant a été systématiquement surévaluée par l'intimé. Afin d'identifier le montant exact de l'épargne du recourant, l'intimé devra reprendre uniquement les éléments retenus à titre de fortune nette par l'administration fiscale qui ressortent des attestations fiscales 2011 à 2015 et 2017. À cet égard, l'attestation fiscale 2016, permettant d'identifier le montant exact de l'épargne à prendre en compte pour l'année 2017, n'apparait pas au dossier, de sorte qu'il conviendra de compléter l'instruction sur ce point. Ensuite, s'agissant de la valeur du compte de libre passage auprès de la Fondation institution supplétive LPP, il apparaît que l'intimé a retenu à titre de fortune les intérêts du capital LPP, une première fois, puis une seconde fois dans le produit de la fortune. Ces intérêts ont donc été doublement pris en compte dans la fortune du recourant. Enfin, l'intimé a pris en compte certains montants, à titre de produit de la fortune, dont on ne comprend pas l'origine. Il conviendra dès lors de les éclairer, voire de les modifier ou les supprimer si ceux-ci n'ont pas de fondement. Partant, l'intimé devra compléter son instruction et procéder à de nouveaux calculs afin d'identifier le montant exact des prestations complémentaires fédérales et cantonales perçues en trop par le recourant durant la période du 1er mai 2012 au 30 avril 2019.</w:t>
      </w:r>
    </w:p>
    <w:p>
      <w:r>
        <w:t>A/697/2020 - 16/17 - En conséquence, le recours sera partiellement admis et la décision sur opposition du 14 janvier 2020 annulée, la cause étant renvoyée à l’intimé pour nouvelle décision au sens des considérants.</w:t>
      </w:r>
    </w:p>
    <w:p>
      <w:r>
        <w:t>A/697/2020 - 17/17 -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