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ATAS/670/2017 vom 14. August 2017</w:t>
      </w:r>
    </w:p>
    <w:p>
      <w:r>
        <w:t>GE Cour de justice, 2017-08-14, FR</w:t>
      </w:r>
    </w:p>
    <w:p>
      <w:r>
        <w:rPr>
          <w:b/>
        </w:rPr>
        <w:t xml:space="preserve">Quelle: </w:t>
      </w:r>
      <w:r>
        <w:t>https://mcp.opencaselaw.ch/entscheid/ge_gerichte_ATAS_670_2017</w:t>
      </w:r>
    </w:p>
    <w:p>
      <w:r>
        <w:t>FR: GE_GERICHTE ATAS/670/2017 du 14 août 2017</w:t>
      </w:r>
    </w:p>
    <w:p>
      <w:r>
        <w:t>IT: GE_GERICHTE ATAS/670/2017 del 14 agosto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t>A/3228/2016 - 10/14 -</w:t>
      </w:r>
    </w:p>
    <w:p>
      <w:r>
        <w:rPr>
          <w:b/>
        </w:rPr>
        <w:t>E. 4</w:t>
      </w:r>
    </w:p>
    <w:p>
      <w:r>
        <w:t>Le litige porte sur le droit aux prestations de la recourante, en particulier sur la question de savoir si son état de santé entraîne une incapacité de gain..</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w:t>
      </w:r>
    </w:p>
    <w:p>
      <w:r>
        <w:t>A/3228/2016 - 11/14 -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8</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t>A/3228/2016 - 12/14 -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a. En l’espèce, l’intimé considère que l’état de santé de la recourante est stable depuis 2010 et que la diminution de son taux d’activité par son employeur est exclusivement due à des motifs économiques, de sorte que le degré d’invalidité est nul. Pour sa part, la recourante allègue que son état de santé se péjore progressivement, en particulier au niveau de ses articulations et de la fatigue ressentie, ce qui justifierait l’octroi de prestations de l’assurance-invalidité. b. En l’occurrence, compte tenu des déclarations de la recourante lors de la comparution personnelle des parties, force est de constater que son licenciement en 2015 – taux d’activité de 100% jusqu’au 31 décembre 2015 –, puis son réengagement à 50% dans le même emploi dès le 1er janvier 2016 sont exclusivement dus à des motifs économiques. En effet, il apparaît que l’employeur a vu le volume de ses commandes diminuer. D’ailleurs, la recourante a elle-même précisé qu’elle n’était pas la seule employée dans cette situation. Or, rappelons que l’invalidité, au sens de la LPGA et de la LAI, implique une incapacité de gain en lien de causalité avec une atteinte à la santé, ce qui n’est pas le cas en l’espèce. c. Certes, les Drs G______ et D______ concluent à une péjoration de l’état de santé de la recourante ainsi qu’à une diminution de sa capacité de travail. De son côté, le Dr F______ du SMR considère que l’état de santé demeure inchangé. Cela étant, ni le Dr G______ ni le Dr D______ ne retiennent des diagnostics différents de ceux connus depuis 2006. S’ils concluent à une capacité de travail réduite, celle-ci varie d’un rapport à l’autre, pour autant qu’elle soit mentionnée. Par ailleurs, à aucun moment, ces derniers ne motivent leurs conclusions ou n’apportent des données objectives permettant d’expliquer leur analyse du cas. De plus, les limitations fonctionnelles retenues sont identiques à celles qui avaient été identifiées dans le cadre de la première demande d’invalidité du 7 août 2008, en particulier la nécessité d’éviter les ports de charge et l’usage des mains. Enfin, il convient de relever qu’à plusieurs reprises, le Dr G______ parle de l’incapacité de travail de la recourante dans une activité de couturière, ce qui n’est plus d’actualité</w:t>
      </w:r>
    </w:p>
    <w:p>
      <w:r>
        <w:t>A/3228/2016 - 13/14 - depuis 2009 et l’engagement de la recourante en qualité de vendeuse à plein temps par son employeur actuel. A la lecture du dossier et des autres pièces médicales, il apparaît au contraire que l’état de santé de la recourante est demeuré stable. C’est en effet la conclusion du Dr E______, suite à l’IRM lombaire pratiquée le 20 novembre 2015. Dans ses rapports de 2015 et 2016, la Dresse B______ considère que l’état de santé de la recourante est stable depuis 2006, s’agissant des membres inférieurs, et que la capacité de travail n’est pas affectée. Compte tenu de ces éléments, il apparaît que la recourante est totalement incapable de travailler en tant que courtepointière, mais qu’elle conserve à ce jour une pleine capacité de travail dans une activité de vendeuse limitant les ports de charge, tel que cela avait été défini en 2010. Ainsi, la chambre de céans ne saurait s’écarter des conclusions de l’avis du Dr F______ du SMR. d. En tant que de besoin, la chambre de céans précise que le fait qu’une invalidité ne soit pas reconnue au sens de la LPGA et de la LAI ne signifie pas pour autant que la recourante ne présente pas des atteintes à la santé ou des douleurs en fonction des activités pratiquées. Cela étant et compte tenu de l’aptitude de la recourante à maintenir sa capacité de gain en exerçant son activité habituelle de vendeuse, son degré d’invalidité est nul et sa demande de prestations du 21 octobre 2015 doit être refusée.</w:t>
      </w:r>
    </w:p>
    <w:p>
      <w:r>
        <w:rPr>
          <w:b/>
        </w:rPr>
        <w:t>E. 10</w:t>
      </w:r>
    </w:p>
    <w:p>
      <w:r>
        <w:t>Au vu de ce qui précède, le recours sera rejeté. Etant donné que depuis le 1er juillet 2006, la procédure n'est plus gratuite (art. 69 al. 1bis LAI), il y a lieu de condamner la recourante au paiement d'un émolument de 200 fr.</w:t>
      </w:r>
    </w:p>
    <w:p>
      <w:r>
        <w:t>A/3228/2016 - 14/14 -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