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ATAS/66/2023 vom 3. Februar 2023</w:t>
      </w:r>
    </w:p>
    <w:p>
      <w:r>
        <w:t>GE Cour de justice, 2023-02-03, FR</w:t>
      </w:r>
    </w:p>
    <w:p>
      <w:r>
        <w:rPr>
          <w:b/>
        </w:rPr>
        <w:t xml:space="preserve">Quelle: </w:t>
      </w:r>
      <w:r>
        <w:t>https://mcp.opencaselaw.ch/entscheid/ge_gerichte_ATAS_66_2023</w:t>
      </w:r>
    </w:p>
    <w:p>
      <w:r>
        <w:t>FR: GE_GERICHTE ATAS/66/2023 du 3 février 2023</w:t>
      </w:r>
    </w:p>
    <w:p>
      <w:r>
        <w:t>IT: GE_GERICHTE ATAS/66/2023 del 3 febbraio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recevable.</w:t>
      </w:r>
    </w:p>
    <w:p>
      <w:r>
        <w:rPr>
          <w:b/>
        </w:rPr>
        <w:t>E. 2</w:t>
      </w:r>
    </w:p>
    <w:p>
      <w:r>
        <w:t>Le litige porte sur le droit aux prestations du recourant (soit la couverture des frais de traitement en lien avec les troubles lombaires) au-delà du 31 mars 2022, en particulier sur la question du lien de causalité entre l’événement du 20 août 2020 et les atteintes lombaires. On relèvera à cet égard que le lien de causalité entre ledit événement et les atteintes à la cheville droite et au pied droit du recourant fait l’objet d’une procédure séparée, la cause ayant été renvoyée par la chambre de céans à la CNA pour instruction complémentaire, et cela conformément à la proposition de l’intimée du 18 août 2022 (cf. ATAS/931/2022 du 21 octobre 2022).</w:t>
      </w:r>
    </w:p>
    <w:p>
      <w:r>
        <w:rPr>
          <w:b/>
        </w:rPr>
        <w:t>E. 2.1</w:t>
      </w:r>
    </w:p>
    <w:p>
      <w:r>
        <w:t>Selon l'art. 6 al. 1 LAA, les prestations d'assurance sont allouées en cas d'accident professionnel, d'accident non professionnel et de maladie professionnelle. Par accident, on entend toute atteinte dommageable, soudaine et</w:t>
      </w:r>
    </w:p>
    <w:p>
      <w:r>
        <w:t>A/1720/2022 - 5/10 -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w:t>
      </w:r>
    </w:p>
    <w:p>
      <w:r>
        <w:t>A/1720/2022 - 6/10 -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2.2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w:t>
      </w:r>
    </w:p>
    <w:p>
      <w:r>
        <w:t>A/1720/2022 - 7/10 -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w:t>
      </w:r>
    </w:p>
    <w:p>
      <w:r>
        <w:t>A/1720/2022 - 8/10 - anticipée des preuves ; ATF 122 II 464 consid. 4a ; 122 III 219 consid. 3c). Une telle manière de procéder ne viole pas le droit d’être entendu selon l’art. 29 al. 2 de la Constitution fédérale de la Confédération suisse du 18 avril 1999 (Cst. RS 101 ; SVR 2001 IV n. 10 p. 28 consid. 4b), la jurisprudence rendue sous l’empire de l’art. 4 a Cst. étant toujours valable (ATF 124 V 90 consid. 4b ; 122 V 157 consid. 1d).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8C_383/2018 du 10 décembre 2018 consid. 3.2 ; 8C_441/2017 du 6 juin 2018 consid. 3.3).</w:t>
      </w:r>
    </w:p>
    <w:p>
      <w:r>
        <w:rPr>
          <w:b/>
        </w:rPr>
        <w:t>E. 2.3</w:t>
      </w:r>
    </w:p>
    <w:p>
      <w:r>
        <w:t>En l’espèce, la chambre de céans relève à titre liminaire que l’intimée ne conteste pas le fait que les conditions d’un accident au sens de l’art. 4 LPGA étaient remplies s’agissant de l’événement du 20 août 2020. Se pose la question de savoir si c’est à juste titre que l’intimée a nié la persistance d’un lien de causalité naturelle et adéquate entre les douleurs lombaires et l’événement accidentel au-delà du 31 mars 2022. Sur la base de l’appréciation médicale du Dr E______ du 21 octobre 2021, l’intimée a considéré que les troubles persistant au niveau de la colonne lombaire n’avaient plus aucun lien de causalité avec l’événement du 20 août 2020 et a décidé d’arrêter de prester après le 31 mars 2022. Cette appréciation est clairement exposée, dûment motivée et convaincante. Il en ressort notamment que l’examen clinique du médecin confirmait une évolution favorable sans douleur ni syndrome lombo-vertébral clinique, ni atteinte motrice. Il y avait un état antérieur évident démontré à l’IRM du 28 octobre 2020, qui n’était pas imputable à l’évènement du 20 août 2020. L’analyse du Dr E______ est compatible avec les plaintes du recourant, qui, selon les rapports du Dr E______ du 21 octobre 2021 et des médecins du CRR du 19 mai 2021, n’avait signalé aucune douleur dans la région lombaire. Elle est également conforme aux conclusions du Dr D______ s’agissant de l’IRM lombaire et au constat, relevé par le Dr F______, selon lequel les lombalgies n’étaient pas apparues immédiatement après l’accident.</w:t>
      </w:r>
    </w:p>
    <w:p>
      <w:r>
        <w:t>A/1720/2022 - 9/10 - Aucun indice concret au dossier ne permet de mettre en cause le bien-fondé des conclusions du Dr E______. Le recourant n’a apporté aucune pièce médicale attestant de ce que les atteintes lombaires seraient en lien de causalité avec l’accident. Le fait que le médecin traitant du recourant continue à attester d’une incapacité de travail totale ne lui est d’aucun secours. Conformément à la jurisprudence précitée, il n’est en effet pas exigé de l’assureur-accident qu’il apporte la preuve négative qu’il ne subsiste plus aucune atteinte à la santé. On relèvera à cet égard que l’atteinte principale évoquée au dossier porte sur la cheville droite. Or, il ressort de l’ATAS/931/2022 précité que l’intimée effectue des investigations supplémentaires en lien avec cette affection. Ainsi, au vu de l’ensemble des éléments médicaux au dossier, il convient de suivre les conclusions du Dr E______ et de retenir que l’atteinte lombaire provient d’un état antérieur qui n’est pas imputable à l’événement du 20 août 2020. Le lien de causalité entre l’atteinte lombaire et l’événement du 20 août 2020 doit dès lors être nié au-delà du 31 mars 2022 (date retenue par l’intimée pour arrêter de prester). L’intimée était en conséquence en droit de mettre fin à ses prestations (en particulier les frais de traitement) concernant les troubles lombaires. La décision entreprise sera partant confirmée. La documentation versée au dossier permettant déjà à la chambre de céans de statuer en connaissance de cause sur le bien-fondé de la décision attaquée, il n’y a pas lieu d’ordonner une expertise judiciaire, par appréciation anticipée des preuves (ATF 122 II 464 consid. 4a).</w:t>
      </w:r>
    </w:p>
    <w:p>
      <w:r>
        <w:rPr>
          <w:b/>
        </w:rPr>
        <w:t>E. 3</w:t>
      </w:r>
    </w:p>
    <w:p>
      <w:r>
        <w:t>Au vu de ce qui précède, le recours est rejeté. Pour le surplus, la procédure est gratuite (art. 61 let. fbis LPGA a contrario).</w:t>
      </w:r>
    </w:p>
    <w:p>
      <w:r>
        <w:t>A/1720/2022 - 10/10 -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