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ATAS/66/2015 vom 2. Februar 2015</w:t>
      </w:r>
    </w:p>
    <w:p>
      <w:r>
        <w:t>GE Cour de justice, 2015-02-02, FR</w:t>
      </w:r>
    </w:p>
    <w:p>
      <w:r>
        <w:rPr>
          <w:b/>
        </w:rPr>
        <w:t xml:space="preserve">Quelle: </w:t>
      </w:r>
      <w:r>
        <w:t>https://mcp.opencaselaw.ch/entscheid/ge_gerichte_ATAS_66_2015</w:t>
      </w:r>
    </w:p>
    <w:p>
      <w:r>
        <w:t>FR: GE_GERICHTE ATAS/66/2015 du 2 février 2015</w:t>
      </w:r>
    </w:p>
    <w:p>
      <w:r>
        <w:t>IT: GE_GERICHTE ATAS/66/2015 del 2 febbraio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la question de savoir si l'état de santé du recourant a subi un changement important depuis qu'a été fixé le taux d'invalidité du recourant à 51 % par décision sur opposition de l'OAI du 29 septembre 2005, respectivement si un tel changement est survenu dans les conséquences de l'état de santé sur sa capacité de gain.</w:t>
      </w:r>
    </w:p>
    <w:p>
      <w:r>
        <w:t>A/2345/2014 - 22/28 -</w:t>
      </w:r>
    </w:p>
    <w:p>
      <w:r>
        <w:rPr>
          <w:b/>
        </w:rPr>
        <w:t>E. 3</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4</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5</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A/2345/2014 - 23/28 -</w:t>
      </w:r>
    </w:p>
    <w:p>
      <w:r>
        <w:rPr>
          <w:b/>
        </w:rPr>
        <w:t>E. 7</w:t>
      </w:r>
    </w:p>
    <w:p>
      <w:r>
        <w:t>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9</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10</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A/2345/2014 - 24/28 -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w:t>
      </w:r>
    </w:p>
    <w:p>
      <w:r>
        <w:t>A/2345/2014 - 25/28 - médicale. Il appartient en effet à l'assureur social ou au juge d'apprécier la portée du produit d'une surveillance en fonction du principe de la libre appréciation des preuves (Moser-Szeless, op.cit., p. 153; voir aussi l'arrêt 8C_830/2011 du 9 mars 2012 consid. 6.5). (8C_779/2012 arrêt du 25 juin 2013).</w:t>
      </w:r>
    </w:p>
    <w:p>
      <w:r>
        <w:rPr>
          <w:b/>
        </w:rPr>
        <w:t>E. 13</w:t>
      </w:r>
    </w:p>
    <w:p>
      <w:r>
        <w:t>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Dans le cas d'espèce, le recourant met en cause la valeur probante de l'expertise du Dr S______ dans la mesure où ce médecin arrive à la conclusion qu'il n'y a eu aucune aggravation de l'état de santé du recourant depuis la décision du 29 septembre 2005 ayant fixé le taux d'invalidité à 51%, alors même que dans l'intervalle, aux affections déjà existantes et reconnues en 2005 étaient venus s'ajouter les problèmes du genou gauche qui datent de février 2012. Il fait notamment valoir que le Dr Q______ qui avait opéré le recourant en novembre 2012 pour rupture du ligament croisé du genou gauche, des suites de l'accident de février 2012 considère, en 2014, que le recourant, seize mois après la ligamentoplastie, et plus de deux ans après l'accident survenu en février 2012 ne peut pas marcher en charge complète et qu'il n'y a aucune possibilité pour le recourant d'avoir une quelconque activité professionnelle. Il se réfère également à l'avis exprimé par le Dr D______ lequel évoque les problèmes liés aux épaules du recourant, qui estime que la situation se dégrade progressivement par rapport au traumatisme initial remontant à seize ans, et qui estime souhaitable de réévaluer pour une expertise auprès de l'assurance-invalidité, la situation clinique du recourant. Après une anamnèse complète comprenant les antécédents familiaux, les antécédents personnels, la description des affections actuelles, du point de vue neurologique, et ostéoarticulaire, sur la base de tous les documents médicaux à disposition, de 1996 à fin septembre 2013, une anamnèse physique systématique, le recensement des capacités par rapport aux actes de la vie quotidienne, le</w:t>
      </w:r>
    </w:p>
    <w:p>
      <w:r>
        <w:t>A/2345/2014 - 26/28 - questionnement sur les habitudes de consommation de substances (tabac, alcool, médicaments), la situation socioprofessionnelle, la situation assécurologique, les indications subjectives de l'assuré, les constatations objectives résultant de l'examen de l'expertisé, l'observation de l'assuré durant l'examen, la prise en compte des examens radiologiques complémentaires auxquels il a lui-même fait procéder, l'expert a également confronté les divers avis de tous les médecins traitants ayant suivi à un titre ou à un autre l'assuré depuis 1996 à 2013 (parmi lesquels les Drs Q______ et D______), expliquant notamment en quoi ses constatations s'écartaient de l'avis de la Dresse C______ et se rapprochait de l'avis du Dr N______, notamment, et répondant enfin de manière complète aux questions posées, comme détaillé ci-dessus (ch. 41 – En Fait). L'expert a également souligné que ses propres observations, en cours d'examen de l'assuré, sont corroborées par les illustrations vidéo et photographiques de la surveillance des activités professionnelles et du comportement de l'assuré dans la vie de tous les jours, démontrant un assuré qui se meut de manière fluide, qui est capable de porter des charges et d'effectuer des déplacements à vélo. Il relève que ses activités sont décrites par l'assuré lui-même et dénotent un certain potentiel de capacité de travail tel que décrit dans son appréciation du cas. Or, les Drs Q______ et D______, dans les attestations médicales qu'ils ont établies postérieurement à l'expertise ne remettent nullement en cause les conclusions du Dr S______, et montrent au contraire que les affections dont souffre le recourant, ayant entraîné une certaine limitation fonctionnelle et des douleurs résiduelles se sont stabilisées au fil des années. L'état de certaines affections, notamment une tendinopathie de la coiffe, a même pu être partiellement améliorée par une infiltration réalisée fin 2013 (Dr D______). Le Dr Q______ ne justifie nullement l'affirmation selon laquelle en raison de ses problèmes de genou le recourant ne présente aucune possibilité d'avoir la moindre activité professionnelle. Cette affirmation est du reste contredite par les faits: que ce soit par les constatations de l'expert lors de l'examen de l'assuré, la description même que ce dernier donne de ses activités, les constatations du détective, lesquelles n'ont pas été sérieusement remises en cause par le recourant, corroborées encore par les observations du physiothérapeute du recourant, du cabinet Physio-Osteo-Vendée qui constatait, postérieurement au rapport d'expertise du Dr S______, que l'assuré est une personne relativement active qui se déplace principalement à vélo.</w:t>
      </w:r>
    </w:p>
    <w:p>
      <w:r>
        <w:rPr>
          <w:b/>
        </w:rPr>
        <w:t>E. 16</w:t>
      </w:r>
    </w:p>
    <w:p>
      <w:r>
        <w:t>Au vu de ce qui précède, l'expertise du Dr S______, sur laquelle s'est fondé l'intimé pour arriver à la conclusion que l'état de santé du recourant ne s'était pas aggravé, depuis septembre 2005, est convaincante et répond en tous points aux exigences et critères posés par la jurisprudence pour reconnaître pleine valeur probante à un rapport d'expertise ordonnée par l'administration notamment. Ainsi, l'état de santé du recourant ne s'étant pas aggravé depuis la dernière décision fixant la rente, et en l'occurrence la demi-rente, fondée sur un taux d'invalidité de 51 %, l'administration n'avait à juste titre pas à procéder à une nouvelle évaluation</w:t>
      </w:r>
    </w:p>
    <w:p>
      <w:r>
        <w:t>A/2345/2014 - 27/28 - de l'invalidité. Dans cette logique d'ailleurs, les éléments recueillis ayant même laissé entrevoir une amélioration de la capacité travail du recourant, celle-ci n'a été évaluée ni par l'expert - dont la seule mission était d'examiner si l'état de santé s'était aggravé -, ni par l'intimé qui s'en est tenu au constat de la non-aggravation de l'état de santé, confirmant ainsi le maintien de la demi-rente octroyée sur opposition par décision du 29 septembre 2005.</w:t>
      </w:r>
    </w:p>
    <w:p>
      <w:r>
        <w:rPr>
          <w:b/>
        </w:rPr>
        <w:t>E. 17</w:t>
      </w:r>
    </w:p>
    <w:p>
      <w:r>
        <w:t>Au vu de ce qui précède, le recours sera rejeté. Étant donné que depuis le 1er juillet 2006, la procédure n'est plus gratuite (art. 69 al. 1bis LAI), il y a lieu de condamner le recourant au paiement d'un émolument de CHF 200.-.</w:t>
      </w:r>
    </w:p>
    <w:p>
      <w:r>
        <w:t>A/2345/2014 - 28/28 -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