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ATAS/669/2019 vom 23. Juli 2019</w:t>
      </w:r>
    </w:p>
    <w:p>
      <w:r>
        <w:t>GE Cour de justice, 2019-07-23, FR</w:t>
      </w:r>
    </w:p>
    <w:p>
      <w:r>
        <w:rPr>
          <w:b/>
        </w:rPr>
        <w:t xml:space="preserve">Quelle: </w:t>
      </w:r>
      <w:r>
        <w:t>https://mcp.opencaselaw.ch/entscheid/ge_gerichte_ATAS_669_2019</w:t>
      </w:r>
    </w:p>
    <w:p>
      <w:r>
        <w:t>FR: GE_GERICHTE ATAS/669/2019 du 23 juillet 2019</w:t>
      </w:r>
    </w:p>
    <w:p>
      <w:r>
        <w:t>IT: GE_GERICHTE ATAS/669/2019 del 23 luglio 2019</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Le recours a été interjeté en temps utile (art. 60 LPGA). Il satisfait aux exigences de forme et de contenu prévues par la loi (art. 61 let. b LPGA ; cf. aussi art. 89B de la loi sur la procédure administrative du 12 septembre 1985 - LPA - E 5 10). Ayant été partie à la procédure ayant abouti à la décision attaquée, étant touchée par cette</w:t>
      </w:r>
    </w:p>
    <w:p>
      <w:r>
        <w:t>A/567/2019 - 7/13 - dernière et ayant un intérêt digne de protection à son annulation ou sa modification, la recourante a qualité pour recourir (art. 59 LPGA). Le recours est donc recevable.</w:t>
      </w:r>
    </w:p>
    <w:p>
      <w:r>
        <w:rPr>
          <w:b/>
        </w:rPr>
        <w:t>E. 2</w:t>
      </w:r>
    </w:p>
    <w:p>
      <w:r>
        <w:t>Le litige porte, d’un point de vue procédural et le cas échéant matériel, sur le droit de la recourante à la prise en charge intégrale, par l’intimé, des coûts de deux appareils Starkey Halo i110 Contour et d’une prestation Active Stéréo, devisés à CHF 8'160.-.</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En vertu de l’art. 21 LAI, l’assuré a droit, d’après une liste dressée par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la liste établie par le Conseil fédéral (al. 2). L'assurance prend à sa charge les moyens auxiliaires d'un modèle simple et adéquat et les remet en propriété ou en prêt (al. 3 phr. 1).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L’ordonnance concernant la remise des moyens auxiliaires par l’assurance- invalidité du 29 novembre 1976 (OMAI - RS 831.232.51) prévoit qu'ont droit aux moyens auxiliaires, dans les limites fixées par la liste annexée à cette ordonnance, les assurés qui en ont besoin pour se déplacer, établir des contacts avec leur entourage ou développer leur autonomie personnelle (art. 2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L’assuré n’a droit qu’à des moyens auxiliaires d’un modèle</w:t>
      </w:r>
    </w:p>
    <w:p>
      <w:r>
        <w:t>A/567/2019 - 8/13 - simple, adéquat et économique ; il supporte les frais supplémentaires d’un autre modèle (art. 2 al. 4 phr. 1 et 2). Selon le principe de la proportionnalité qui sous-tend les dispositions précitées,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 ATF 131 V 167 consid. 3 ; 121 V 258 consid. 4 ; sur les moyens auxiliaires en général, cf. Michel VALTERIO, Commentaire de la loi fédérale sur l’assurance-invalidité, 2018, n. 1 ss ad art. 21). c. Le ch. 5.07 de la liste annexée à l’OMAI a trait aux appareils auditifs en cas de déficience de l’ouïe. Il prévoit que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 forfait est de CHF 840.- pour un appareillage monaural et de CHF 1650.- pour un appareillage binaural, hors frais de réparation et de piles. L’OFAS dresse une liste des appareils satisfaisant aux exigences de l’assurance et pour lesquels le versement d’un forfait est admis. Selon le ch. 5.07.2* de ladite liste, l’OFAS définit les cas dans lesquels des forfaits supérieurs aux montants prévus au ch. 5.07 peuvent être versés pour un appareillage monaural ou binaural. La Circulaire de l’OFAS concernant la remise des moyens auxiliaires par l’assurance-invalidité (ci-après : CMAI, valable à partir du 1er janvier 2013, dans son état au 1er janvier 2019) précise, à son ch. 1018, que les moyens auxiliaires désignés par un astérisque (*) dans la liste OMAI ne sont accordés que s’ils sont nécessaires pour l’exercice d’une activité lucrative, l’accomplissement des travaux habituels ou la fréquentation de l’école ou d’une formation. Au titre de la participation de l’assuré aux frais, elle prévoit, à son ch. 1027, que si, sans que l’invalidité le rende nécessaire, l’assuré choisit un modèle plus coûteux que celui que l’assurance agrée, il doit s’engager au préalable par écrit auprès du fournisseur à prendre en charge la différence de prix. d. Au chapitre des dispositions particulières sur les appareils auditifs en cas de déficience de l’ouïe, la CMAI précise, à son ch. 2037, que le port d’un appareil auditif doit être recommandé par un médecin-expert reconnu par l’AI et qu’une expertise de ce type est obligatoire pour toute personne qui acquière pour la première fois un appareil auditif ou renouvelle son appareillage ; des directives à l’intention des médecins experts ORL ont été édictées à ce propos par la Société Suisse d’Oto-Rhino-Laryngologie et de Chirurgie cervico-faciale. L’octroi du</w:t>
      </w:r>
    </w:p>
    <w:p>
      <w:r>
        <w:t>A/567/2019 - 9/13 - forfait pour un appareillage binaural n’est possible que sur indication audiologique du médecin-expert, et à condition que la binauralité amène une amélioration notable de la situation auditive (ch. 2039 CMAI). Lorsque l’assuré n’a pas droit à un forfait parce que la déficience auditive constatée par le médecin-expert n’atteint pas la valeur seuil définie dans les directives à l’intention des médecins-experts ORL, il y a lieu de lui notifier une décision en ce sens ; lorsque le résultat est positif, il y a lieu de notifier une décision de prise en charge des frais (ch. 2040 CMAI). L’AI ne verse un nouveau montant forfaitaire avant l’échéance du délai de six ans (réappareillage anticipé) que si la dégradation de l’acuité auditive atteint le pourcentage défini dans les directives à l’intention des médecins-experts ORL (ch. 2046 CMAI). Concernant les cas de rigueur pour les appareillages auditifs visés par le ch. 5.07.2* de la liste annexée à l’OMAI, la CMAI précise, à son ch. 2051, que les assurés ont droit à un appareillage simple et adéquat, mais non au meilleur appareillage possible, et, à son ch. 2053, que la réglementation relative aux cas de rigueur ne s’applique que lorsque l’appareillage et les frais qui en résultent dépassent le coût moyen d’un appareillage simple et adéquat au point qu’on ne peut raisonnablement exiger de l’assuré qu’il assume la différence (en plus que celui-ci doit exercer une activité lucrative, accomplir ses travaux habituels ou suivre une formation). Ainsi (toujours selon le ch. 2053 CMAI), l’octroi d’une prestation pour cas de rigueur signifie que l’AI prend en charge les coûts de l’appareillage qui dépassent le montant forfaitaire, pour autant qu’il s’agisse encore d’un appareillage simple et adéquat ; l’assuré doit présenter pour cela à l’office AI une demande d’examen de cas de rigueur (arrêt du Tribunal fédéral 9C_114/2018 du 19 juillet 2018). e. Une telle demande doit être examinée par l’une des cliniques spécialisées énumérées (dont le service d’oto-rhino-laryngologie et de chirurgie cervico-faciale des HUG). Cependant, selon le ch. 2054 CMAI, avant d’être invité à se faire examiner dans une des cliniques citées, l’assuré doit avoir remis à l’office AI certains documents, à savoir une demande avec motivation détaillée par l’assuré des problèmes rencontrés pour l’adaptation de l’appareil auditif, un rapport (non standardisé) du fournisseur avec description complète des problèmes existants, et un journal de bord rempli par l’assuré. L’office AI est tenu de renseigner l’assuré de façon adéquate sur ces documents ainsi que sur le plafond de prise en charge auquel il peut s’attendre. Si ces documents permettent de conclure à la vraisemblance prépondérante de problèmes considérables lors de l’appareillage, l’office AI confie un mandat d’examen à la clinique la plus proche et elle lui envoie une copie de tous les documents pertinents (motivation rédigée par l’assuré, première expertise avec audiogrammes, journal de bord, rapport de l’audioprothésiste et autres documents pertinents, le cas échéant). Après avoir procédé à l’examen, la clinique ORL fait une recommandation à l’office AI (ch. 2055 CMAI). Si, dans sa recommandation, la clinique ORL conclut à l’existence d’un cas de rigueur, l’office AI décide sur cette base s’il accède ou non</w:t>
      </w:r>
    </w:p>
    <w:p>
      <w:r>
        <w:t>A/567/2019 - 10/13 - à la demande de l’assuré et, dans l’affirmative, du montant des surcoûts pris en charge (ch. 2056 CMAI ; arrêt du Tribunal fédéral précité 9C_114/2018 ; ATAS/122/2017 du 20 février 2017). f. Sur le fond, l’OFAS, en collaboration avec les cliniques ORL appelées à effectuer des expertises, a fixé les critères médico-audiologiques auxquels des cas de rigueur doivent satisfaire pour la remise d’appareils auditifs, en particulier la circulaire AI n° 304 du 23 décembre 2011, complétée et partiellement modifiée par la circulaire AI n° 342 du 14 décembre 2015 (ATAS/122/2017précité).</w:t>
      </w:r>
    </w:p>
    <w:p>
      <w:r>
        <w:rPr>
          <w:b/>
        </w:rPr>
        <w:t>E. 4</w:t>
      </w:r>
    </w:p>
    <w:p>
      <w:r>
        <w:t>(ainsi que paraissent l’être les appareils précités) plutôt que 3 sont indispensables, comme l’ont indiqué et expliqué l’audioprothésiste F______ puis la Dre E______ en 2011 (après avoir certes retenu dans un premier temps, s’agissant de la docteure précitée, un niveau 3). Il faut dire en effet que la reconnaissance d’un cas de rigueur ne doit pas conduire à une prise en charge intégrale par l’AI d’appareils acoustiques qui seraient les meilleurs sur le marché, au-delà des conditions de simplicité et d’adéquation définies en tenant compte, le cas échéant exceptionnellement, des particularités de la situation médicale de la recourante et des exigences notamment de sa vie professionnelle.</w:t>
      </w:r>
    </w:p>
    <w:p>
      <w:r>
        <w:rPr>
          <w:b/>
        </w:rPr>
        <w:t>E. 5</w:t>
      </w:r>
    </w:p>
    <w:p>
      <w:r>
        <w:t>a. Le recours sera donc admis partiellement et la cause renvoyée à l’intimé pour instruction complémentaire puis nouvelle décision. b. La procédure de recours en matière de contestations portant sur l’octroi ou le refus de prestations de l’assurance-invalidité est soumise à des frais de justice (art. 69 al. 1bis LAI ; art. 89H al. 4 LPA), en dérogation au principe, posé par l’art. 61 let. a LPGA, de la gratuité des procédures devant le tribunal cantonal des assurances. Aussi un émolument, arrêté au montant minimal de CHF 200.-, sera mis à la charge de l’intimé. Dès lors qu’elle a partiellement gain de cause, la recourante, représentée par une avocate ou un mandataire professionnellement qualifié, a droit à une indemnité de procédure (art. 61 let. g LPGA), qui sera fixée à CHF 800.-.</w:t>
      </w:r>
    </w:p>
    <w:p>
      <w:r>
        <w:t>* * * * * *</w:t>
      </w:r>
    </w:p>
    <w:p>
      <w:r>
        <w:t>A/567/2019 - 13/13 -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