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ATAS/669/2013 vom 26. Juni 2013</w:t>
      </w:r>
    </w:p>
    <w:p>
      <w:r>
        <w:t>GE Cour de justice, 2013-06-26, FR</w:t>
      </w:r>
    </w:p>
    <w:p>
      <w:r>
        <w:rPr>
          <w:b/>
        </w:rPr>
        <w:t xml:space="preserve">Quelle: </w:t>
      </w:r>
      <w:r>
        <w:t>https://mcp.opencaselaw.ch/entscheid/ge_gerichte_ATAS_669_2013</w:t>
      </w:r>
    </w:p>
    <w:p>
      <w:r>
        <w:t>FR: GE_GERICHTE ATAS/669/2013 du 26 juin 2013</w:t>
      </w:r>
    </w:p>
    <w:p>
      <w:r>
        <w:t>IT: GE_GERICHTE ATAS/669/2013 del 26 giugno 2013</w:t>
      </w:r>
    </w:p>
    <w:p>
      <w:pPr>
        <w:pStyle w:val="Heading2"/>
      </w:pPr>
      <w:r>
        <w:t>Erwägungen</w:t>
      </w:r>
    </w:p>
    <w:p>
      <w:r>
        <w:rPr>
          <w:b/>
        </w:rPr>
        <w:t>E. 1</w:t>
      </w:r>
    </w:p>
    <w:p>
      <w:r>
        <w:t>Prend acte de l'engagement de l'intimé d'annuler la décision du 13 mars 2013 et d'entrer en matière sur la demande de révision.</w:t>
      </w:r>
    </w:p>
    <w:p>
      <w:r>
        <w:rPr>
          <w:b/>
        </w:rPr>
        <w:t>E. 2</w:t>
      </w:r>
    </w:p>
    <w:p>
      <w:r>
        <w:t>L’y condamne en tant que de besoin.</w:t>
      </w:r>
    </w:p>
    <w:p>
      <w:r>
        <w:rPr>
          <w:b/>
        </w:rPr>
        <w:t>E. 3</w:t>
      </w:r>
    </w:p>
    <w:p>
      <w:r>
        <w:t>Lui renvoie la cause pour reprendre son instruction.</w:t>
      </w:r>
    </w:p>
    <w:p>
      <w:r>
        <w:rPr>
          <w:b/>
        </w:rPr>
        <w:t>E. 4</w:t>
      </w:r>
    </w:p>
    <w:p>
      <w:r>
        <w:t>Renonce à percevoir un émolument de justice.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