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ATAS/668/2020 vom 18. August 2020</w:t>
      </w:r>
    </w:p>
    <w:p>
      <w:r>
        <w:t>GE Cour de justice, 2020-08-18, FR</w:t>
      </w:r>
    </w:p>
    <w:p>
      <w:r>
        <w:rPr>
          <w:b/>
        </w:rPr>
        <w:t xml:space="preserve">Quelle: </w:t>
      </w:r>
      <w:r>
        <w:t>https://mcp.opencaselaw.ch/entscheid/ge_gerichte_ATAS_668_2020</w:t>
      </w:r>
    </w:p>
    <w:p>
      <w:r>
        <w:t>FR: GE_GERICHTE ATAS/668/2020 du 18 août 2020</w:t>
      </w:r>
    </w:p>
    <w:p>
      <w:r>
        <w:t>IT: GE_GERICHTE ATAS/668/2020 del 18 agosto 2020</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Dans la cadre des bases contractuelles régissant la relation des parties, le ch. 42.2 des conditions générales d’assurance de l’assurance-maladie complémentaire selon la LCA (édition 01.2009) (ci-après : CGA) dispose qu’en cas de contestations, une action peut être ouverte contre la CSS au lieu de domicile en Suisse de la personne assurée ou à Lucerne. Si la personne assurée est domiciliée à l’étranger, le for exclusif est la ville de Lucerne. La demanderesse ayant son domicile à Genève, la chambre de céans est compétente tant à raison de la matière que du lieu pour connaître de la demande.</w:t>
      </w:r>
    </w:p>
    <w:p>
      <w:r>
        <w:t>A/4282/2019 - 13/19 -</w:t>
      </w:r>
    </w:p>
    <w:p>
      <w:r>
        <w:rPr>
          <w:b/>
        </w:rPr>
        <w:t>E. 2</w:t>
      </w:r>
    </w:p>
    <w:p>
      <w:r>
        <w:t>La LCA est applicable à la présente procédure, comme cela ressort du ch. 2.5 des CGA.</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la demande, déposée dans la forme prévue à l’art. 244 CPC, est recevable.</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w:t>
      </w:r>
    </w:p>
    <w:p>
      <w:r>
        <w:t>A/4282/2019 - 14/19 -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w:t>
      </w:r>
    </w:p>
    <w:p>
      <w:r>
        <w:t>Les parties, représentées par un mandataire professionnel, respectivement des collaboratrices du service juridique, n’ayant pas requis expressément la tenue d’une audience de débats, la chambre de céans statuera sur le vu des écritures et des pièces produites (cf. arrêt du Tribunal fédéral 4A_318/2016 du 3 août 2016).</w:t>
      </w:r>
    </w:p>
    <w:p>
      <w:r>
        <w:rPr>
          <w:b/>
        </w:rPr>
        <w:t>E. 6</w:t>
      </w:r>
    </w:p>
    <w:p>
      <w:r>
        <w:t>Le litige porte sur le point de savoir si la défenderesse peut valablement opposer à la demanderesse une suspension de sa couverture d’assurance du 16 avril 2018 au 16 octobre 2018 et, partant, ne pas prendre en charge la somme de CHF 16'750.65 correspondant à la facture H2______ des HUG pour l’hospitalisation de la demanderesse du 17 au 23 septembre 2018 en division semi-privée.</w:t>
      </w:r>
    </w:p>
    <w:p>
      <w:r>
        <w:rPr>
          <w:b/>
        </w:rPr>
        <w:t>E. 7</w:t>
      </w:r>
    </w:p>
    <w:p>
      <w:r>
        <w:t>a. Aux termes de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prime est encaissée chez le débiteur, l’assureur peut remplacer la sommation écrite par une sommation verbale (al. 2). Si la sommation reste sans effet, l’obligation de l’assureur est suspendue à partir de l’expiration du délai légal (al. 3). L’art. 93 de la présente loi demeure réservé (al. 4). En vertu de l’art. 21 LCA, si l’assureur n’a pas poursuivi le paiement de la prime en souffrance dans les deux mois après l’expiration du délai fixé par l’art. 20 de la présente loi, il est censé s’être départi du contrat et avoir renoncé au paiement de la prime arriérée (al. 1). Si l’assureur a poursuivi le paiement de la prime ou l’a accepté ultérieurement, son obligation reprend effet à partir du moment où la prime arriérée a été acquittée avec les intérêts et les frais (al. 2). Le régime des art. 20 s. et 93 LCA est semi-impératif, en ce sens qu’il ne peut pas être modifié au détriment du preneur d’assurance ou de l’ayant droit (art. 98 al. 1 LCA ; arrêt du Tribunal fédéral 4A 134/2015 du 14 septembre 2015 consid. 3.2.1). En tant qu’ils sont de de droit semi-impératif, les art. 20 s. LCA peuvent donc être modifiés par convention, ce qui implique que le preneur consente, tacitement au moins, à la modification du texte légal (cf. Thierry DE MESTRAL, La prime et son paiement, thèse, p. 115). À ces conditions, il est notamment possible de convenir d’un délai plus long que le délai légal de quatorze jours de l’art. 20 al. 1 LCA. Cette dernière disposition est reprise dans les CGA de la défenderesse ; à leur ch. 21.1, celles-ci prévoient que si la prime n’est pas payée dans le délai mentionné sur la facture, la personne concernée est sommée par écrit d’effectuer le paiement des arriérés dans les quatorze jours suivant l’expédition de la sommation, conformément à « l’art. 21 al. 1 LCA » (recte : 20 al. 1 LCA). La sommation doit</w:t>
      </w:r>
    </w:p>
    <w:p>
      <w:r>
        <w:t>A/4282/2019 - 15/19 - rappeler les conséquences du retard. Si cette sommation demeure sans effet, l’obligation d’allouer des prestations est suspendue à partir de l’expiration du délai de sommation. Le ch. 21.4 CGA précise que si la CSS a poursuivi le paiement de la prime ou l’a accepté ultérieurement, son obligation d’allouer des prestations reprend à partir du moment où la prime arriérée a été acquittée avec les intérêts et les frais. Pour les cas d’assurance qui surviennent pendant l’interruption de l’obligation d’allouer des prestations, la CSS n’est pas tenue de verser des prestations même après le paiement de la prime arriérée. b. La LCA contient une réglementation spéciale sur les conséquences du retard dans le paiement des primes. Elle déroge en faveur de l’assureur au régime commun de la demeure du Code des obligations en ce sens que, à l’expiration du délai fixé au débiteur pour s’exécuter, non seulement l’assureur a le choix de poursuivre le paiement de la prime en souffrance ou de se départir du contrat (art. 21 LCA; cf. art. 107 al. 2 CO de la loi fédérale du 30 mars 1911, complétant le Code civil suisse [CO, Code des obligations – RS 220]), mais encore son obligation est suspendue (art. 20 al. 3 LCA); si l’assureur ne se départit pas du contrat – la résiliation étant présumée si l’assureur n’a pas poursuivi le paiement de la prime en souffrance dans les deux mois après l’expiration du délai fixé par l’art. 20 LCA (art. 21 al. 1 LCA) –, son obligation ne reprend effet qu’à partir du moment où la prime arriérée a été acquittée avec les intérêts et les frais (art. 21 al. 2 LCA). L’exigence d’une sommation écrite et rappelant les conséquences du retard a été introduite dans un but de protection de l’assuré. Ainsi, si celui-ci est averti uniquement de ce que, à défaut de paiement dans un délai de quatorze jours, l’obligation de l’assureur est suspendue (pour ne reprendre effet qu’à partir du moment où la prime arriérée a été acquittée avec les intérêts et les frais), il ne saurait imaginer – l’avertissement incomplet étant au contraire de nature à l’induire en erreur sur ce point – que dès l’expiration du délai, l’assureur est en droit de se départir du contrat. Dès lors que la naissance de ce droit formateur de l’assureur – dont la loi, dans un but de protection de l’assuré, présume l’exercice à défaut de poursuite par l’assureur dans les deux mois – présuppose la demeure du débiteur et constitue ainsi indubitablement une conséquence de cette demeure, la sommation doit en informer le débiteur en vertu de l’art. 20 al. 1, 2ème phrase, LCA (ATF 128 III 186 consid. 2d et 2e et les références). Selon la jurisprudence, la sommation doit indiquer le montant de la ou des primes dont le paiement est exigé, ainsi que le délai de paiement de quatorze jours. Elle doit en outre annoncer les conséquences de la demeure de manière explicite, claire et complète. L’assureur ne peut pas se contenter de mentionner la suspension de la couverture d’assurance (art. 20 al. 3 LCA); il doit notamment aussi évoquer la possibilité de se départir du contrat et la présomption découlant de l’art. 21 al. 1 LCA. Un simple renvoi aux art. 20 s. LCA est insuffisant, tout comme le renvoi aux règles correspondantes des conditions générales d’assurance (ATF 138 III 2 consid. 4.2; 128 III 186 consid. 2e). Peu importe que l’assureur ait annexé à la sommation</w:t>
      </w:r>
    </w:p>
    <w:p>
      <w:r>
        <w:t>A/4282/2019 - 16/19 - les dispositions de la LCA et que l’assuré soit représenté par un avocat. En effet, l’art. 20 LCA exige que l’assureur lui-même expose à l’assuré toutes les conséquences de la demeure; il ne peut donc pas partir du principe que l’avocat de l’assuré va faire cette tâche à sa place (arrêt du Tribunal fédéral 4A_134/2015 du 14 septembre 2015 consid. 3.2.2). La sommation qui n’informe pas correctement le débiteur des conséquences de la demeure est irrégulière; elle ne saurait déployer les effets qu’elle omet de mentionner (ATF 138 III 2 consid. 4.2 i.f. p. 7; 128 III 186 consid. 2b et 2f). c. En tant qu’acte juridique unilatéral comportant l’exercice d’un droit formateur, la sommation est sujette à réception et il appartient à l’assureur de le prouver (art. 8 du Code civil suisse du 10 décembre 1907 (CC – RS 210). En règle générale, l’assureur échoue dans cet exercice lorsqu’il adresse la sommation par pli simple – mode d’expédition qui est néanmoins fréquent en pratique pour des raisons de coût (Stephan FUHRER, Schweizerische Privatversicherungsrecht, p. 245, n. 9.33). La notification de la sommation pouvant être corroborée par une preuve positive, il ne se justifie pas d’imposer au preneur d’assurance la preuve négative de la non réception de cet acte, d’autant qu’il en découlerait un « état de nécessité en matière de preuve » (cf. Franz HASENBÖHLER, in Kommentar zum Schweizerischen Privatrecht, Bundesgesetz über den Versicherungsvertrag [VVG], 2001, n. 27 ad art. 20 LCA et les arrêts cités). De même, il n’existe aucune présomption de fait selon laquelle la production d’une copie d’un message suffirait pour admettre que l’original a été déposé à la poste et acheminé à son destinataire. C’est d’ailleurs bien pour cette raison que les particuliers usent, pour les messages importants, de la voie de la lettre-signature et que les tribunaux utilisent la notification par acte judiciaire avec accusé de réception (ATF 129 I 8 consid. 2.2). À défaut de preuve de la notification de la sommation (notamment par le fait qu’elle aurait été envoyée sous pli simple), on admettra que le contrat a continué à déployer ses effets, car s’il appartient au preneur d’établir les faits générateurs d’obligations pour l’assureur, il incombe principalement à celui-ci de prouver les faits de nature à le libérer (Olivier CARRÉ, LCA annotée, p. 216 ad art. 20 LCA et les références citées). Dans les domaines juridiques autres que le droit des assurances privées, plus particulièrement en droit des assurances sociales, la jurisprudence a posé des règles en matière de preuve dans le cadre d’une administration de masse : c’est la règle du degré de la vraisemblance prépondérante qui prévaut en ce qui concerne la notification, la preuve stricte – soit la certitude – étant cependant exigée en cas de procès pendant (ATF 124 V 400 consid. 2b), en particulier pour déterminer si un moyen de droit a été ou non exercé en temps utile (cf. ATF 119 V 7). Cela étant, même lorsqu’il suffit que la preuve de la notification d’un envoi soit apportée au degré de la vraisemblance prépondérante, cette éventualité n’en suppose pas moins, en règle générale, une notification par courrier recommandé, car l’administration ne saurait rendre vraisemblable, au degré de la prépondérance requis, la notification d’une décision en renvoyant simplement aux processus internes qui régissent son fonctionnement habituel (cf. ATF 121 V 5 consid. 3b et la référence). Lorsque la</w:t>
      </w:r>
    </w:p>
    <w:p>
      <w:r>
        <w:t>A/4282/2019 - 17/19 - preuve de la notification d’un envoi a été apportée, il existe une présomption que l’envoi contenait effectivement l’acte en question (ATF 124 V 400 consid. 2c et les arrêts cités). Cependant, à la différence des envois de masse, la sommation prévue à l’art. 20 al. 1 LCA doit justement être individualisée, de sorte que la preuve de son contenu ne saurait être facilitée par la jurisprudence précitée. En revanche, la production d’une copie de l’original envoyé, comportant tous les éléments prescrits par la loi (ci-dessus : consid. 7b), constitue un fort indice qui peut contribuer à fonder une certitude et non seulement une vraisemblance prépondérante. Dans le cas de la sommation prévue à l’art. 20 LCA, il n’y a dès lors aucune raison à renoncer à exiger que le texte adressé au débiteur soit établi avec certitude (arrêt du Tribunal fédéral 5C.97/2005 du 15 septembre 2005 consid. 4.4.1 à 4.4.3) ; ne satisfait pas à cette exigence la production d’une lettre-type qui, au moment de l’établissement de la sommation individuelle, aurait été complétée, au moyen d’un système informatisé, par l’indication de l’adresse du preneur et du montant dû (cf. l’arrêt 5C.97/2005 précité, consid. 4.5.1 et 5 ; cf. ég. Andrea EISNER-KIEFER, in Basler Kommentar, Versicherungsvertragsgesetz, Nachführungsband 2012, p. 99, n. 27 ad art. 20 LCA).</w:t>
      </w:r>
    </w:p>
    <w:p>
      <w:r>
        <w:rPr>
          <w:b/>
        </w:rPr>
        <w:t>E. 8</w:t>
      </w:r>
    </w:p>
    <w:p>
      <w:r>
        <w:t>En l’espèce, la demanderesse reconnaît avoir reçu certains courriers de la demanderesse mais aucune des sommations litigieuses. Tout en déclarant avoir adressé ses rappels et sommations par pli simple, la défenderesse soutient pour sa part que le fardeau de la preuve de la notification d’une sommation incombant à l’assureur relèverait de la vraisemblance prépondérante (et non de la certitude que le Tribunal fédéral a admise en lien avec le contenu de la sommation dans l’arrêt 5C.97/2005 précité). Elle ajoute que dès lors que ces sommations ont fait l’objet d’envois automatiques – excluant ainsi une erreur humaine – et qu’elles comportent les mêmes dates que les rappels également adressés à la demanderesse pour d’autres primes impayées, il serait inconcevable qu’envoyées à la même adresse que les rappels, ces sommations n’aient pas été reçues. La chambre de céans constate que les pièces produites par la défenderesse ne permettent pas d’établir, à satisfaction de droit, que les sommations litigieuses sont parvenues à la demanderesse. À cet égard, le fait que celles-ci seraient enregistrées dans le système informatique de la défenderesse – tout comme d’autres documents en lien avec le dossier de la demanderesse, qui pourraient être réédités à tout moment – est impropre à fonder la conviction que lesdites sommations ont effectivement été déposées à la poste et correctement acheminées à sa destinataire. À cet égard, les explications de la défenderesse sur son système informatique qui, à défaut de paiement, « [déclencherait] automatiquement l’envoi des courriers idoines aux assurés concernés, tout en individualisant leur contenu » (duplique, p. 8) ne sauraient exclure une défaillance du système, notamment au moment de l’envoi desdites sommations, de leur transmission à la poste ou en raison d’une erreur d’acheminement due à cette dernière. Qu’une telle hypothèse soit peu probable importe peu, le point décisif étant qu’elle puisse être exclue (cf. l’ATF 129 I 8</w:t>
      </w:r>
    </w:p>
    <w:p>
      <w:r>
        <w:t>A/4282/2019 - 18/19 - précité, consid. 2.2), ce qui n’est pas le cas. Par ailleurs, quand bien même la preuve de la notification des sommations aurait été apportée par la défenderesse, celles-ci n’auraient pu avoir pour conséquence la suspension du contrat, faute de production d’une copie de l’original envoyé (documentée, par exemple, au moyen de l’apposition d’un timbre « copie ») d’une part (cf. ci-dessus : consid. 7c), et d’absence d’ambiguïté dans le libellé de la sommation d’autre part. Compte tenu de la mention de deux délais différents sur les formules pré-imprimées, soit le délai de trente jours (compris entre la date du décompte et le terme de paiement fixé) imparti par la défenderesse et le délai légal de quatorze jours, ressortant de la référence, en petits caractères, aux art. 20 et 21 LCA, il est impossible d’en déduire, de manière claire, que le délai de trente jours, de surcroît non convenu par les parties (cf. ci-dessus : consid. 7a), est censé, dans l’esprit de la défenderesse, se substituer au délai légal et ne pas être suivi de la fixation d’un nouveau délai légal de quatorze jours. Vu le manque de clarté dont elles sont entachées, force est de retenir que les sommations produites par la défenderesse ne sauraient être considérées comme des mises en demeure valables. Il s’ensuit que même si la notification des sommations litigieuses avait été prouvée par la défenderesse, son obligation découlant de la police d’assurance n’aurait pu être suspendue après écoulement du délai légal.</w:t>
      </w:r>
    </w:p>
    <w:p>
      <w:r>
        <w:rPr>
          <w:b/>
        </w:rPr>
        <w:t>E. 9</w:t>
      </w:r>
    </w:p>
    <w:p>
      <w:r>
        <w:t>Compte tenu de ce qui précède, la défenderesse sera condamnée à verser à la demanderesse la somme de CHF 16'750.65 correspondant à la facture 2______ du</w:t>
      </w:r>
    </w:p>
    <w:p>
      <w:r>
        <w:rPr>
          <w:b/>
        </w:rPr>
        <w:t>E. 14</w:t>
      </w:r>
    </w:p>
    <w:p>
      <w:r>
        <w:t>novembre 2018 des HUG pour l’hospitalisation du 17 au 23 septembre 2018 en division semi-privée. 10.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11. La demanderesse, représentée par un conseil, obtenant gain de cause, la défenderesse est condamnée à lui verser une indemnité de CHF 3'400.- à titre de dépens, TVA et débours inclus (art. 106 al. 1 CPC; art. 20 à 26 de la loi d’application du code civil suisse et d’autres lois fédérales en matière civile du 11 octobre 2012 [LaCC - E 1 05]; art. 84 et 85 du RTFMC).</w:t>
      </w:r>
    </w:p>
    <w:p>
      <w:r>
        <w:t>*****</w:t>
      </w:r>
    </w:p>
    <w:p>
      <w:r>
        <w:t>A/4282/2019 - 19/19 -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