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ATAS/668/2017 vom 8. August 2017</w:t>
      </w:r>
    </w:p>
    <w:p>
      <w:r>
        <w:t>GE Cour de justice, 2017-08-08, FR</w:t>
      </w:r>
    </w:p>
    <w:p>
      <w:r>
        <w:rPr>
          <w:b/>
        </w:rPr>
        <w:t xml:space="preserve">Quelle: </w:t>
      </w:r>
      <w:r>
        <w:t>https://mcp.opencaselaw.ch/entscheid/ge_gerichte_ATAS_668_2017</w:t>
      </w:r>
    </w:p>
    <w:p>
      <w:r>
        <w:t>FR: GE_GERICHTE ATAS/668/2017 du 8 août 2017</w:t>
      </w:r>
    </w:p>
    <w:p>
      <w:r>
        <w:t>IT: GE_GERICHTE ATAS/668/2017 del 8 agosto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127 V 466 consid. 1 et les références). En ce qui concerne en revanche la procédure, et à défaut de règles transitoires contraires, le nouveau droit s'applique sans réserve dès le jour de son entrée en vigueur (ATF 117 V 71 consid. 6b ; 112 V 356 consid. 4a ; RAMA 1998 KV 37 p. 316 consid. 3b). En l’espèce, la décision litigieuse du 7 septembre 2016 est postérieure à l'entrée en vigueur des modifications de la LAI suscitées, de sorte que sont applicables les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w:t>
      </w:r>
    </w:p>
    <w:p>
      <w:r>
        <w:t>A/3336/2016 - 16/24 - Tribunal fédéral des assurances I.249/05 du 11 juillet 2006 consid. 2.1 et Message concernant la modification de la loi fédérale sur l'assurance-invalidité du 2 juin 2005, FF 2005 p. 4322).</w:t>
      </w:r>
    </w:p>
    <w:p>
      <w:r>
        <w:rPr>
          <w:b/>
        </w:rPr>
        <w:t>E. 4</w:t>
      </w:r>
    </w:p>
    <w:p>
      <w:r>
        <w:t>Le délai de recours est de trente jours (art. 60 al. 1 LPGA). Interjeté dans la forme et le délai prévus par la loi, le recours est recevable (art. 56 et 60 LPGA ; art. 89B de la loi sur la procédure administrative du 12 septembre 1985 [LPA - E 5 10]).</w:t>
      </w:r>
    </w:p>
    <w:p>
      <w:r>
        <w:rPr>
          <w:b/>
        </w:rPr>
        <w:t>E. 5</w:t>
      </w:r>
    </w:p>
    <w:p>
      <w:r>
        <w:t>Le litige porte sur le droit de la recourante à une rente entière d’invalidité, plus particulièrement sur son degré d’invalidité dans la sphère ménagère.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114 V 310 consid. 3c ; RAMA 1996 n° U 237 p. 36 consid. 3b).</w:t>
      </w:r>
    </w:p>
    <w:p>
      <w:r>
        <w:rPr>
          <w:b/>
        </w:rPr>
        <w:t>E. 8</w:t>
      </w:r>
    </w:p>
    <w:p>
      <w:r>
        <w:t>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Tant lors de l'examen initial du droit à la rente qu'à l'occasion d'une révision de celle-ci (art. 17 LPGA), il faut examiner sous l'angle des art. 4 et 5 LAI quelle méthode d'évaluation de l'invalidité il convient d'appliquer (art. 28a LAI, en corrélation avec les art. 27ss du règlement du 17 janvier 1961 sur l’assurance-</w:t>
      </w:r>
    </w:p>
    <w:p>
      <w:r>
        <w:t>A/3336/2016 - 17/24 - 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(ATF 137 V 334 consid. 3.2).</w:t>
      </w:r>
    </w:p>
    <w:p>
      <w:r>
        <w:rPr>
          <w:b/>
        </w:rPr>
        <w:t>E. 10</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n’est pas déterminant le temps que l'assuré prend pour effectuer ses tâches ménagères, par exemple, s'il préfère les exécuter dans un laps de temps plus important ou plus court, ni non plus la grandeur de appartement (ATF 141 V 15 consid. 4.5).</w:t>
      </w:r>
    </w:p>
    <w:p>
      <w:r>
        <w:rPr>
          <w:b/>
        </w:rPr>
        <w:t>E. 11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Il existe dans l'assurance-invalidité – ainsi que dans les autres assurances sociales – un principe général selon lequel l'assuré qui demande des prestations doit d'abord entreprendre tout ce que l'on peut raisonnablement attendre de lui pour atténuer les</w:t>
      </w:r>
    </w:p>
    <w:p>
      <w:r>
        <w:t>A/3336/2016 - 18/24 -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du 30 septembre 2015).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Cependant, en présence de tels troubles, et en cas de divergences entre les résultats de l'enquête économique sur le ménage et les</w:t>
      </w:r>
    </w:p>
    <w:p>
      <w:r>
        <w:t>A/3336/2016 - 19/24 -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Il n’existe pas, en droit des assurances sociales, un principe selon lequel</w:t>
      </w:r>
    </w:p>
    <w:p>
      <w:r>
        <w:t>A/3336/2016 - 20/24 -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14</w:t>
      </w:r>
    </w:p>
    <w:p>
      <w:r>
        <w:t>En l’espèce, est seul litigieux le degré d’invalidé de la recourante dans la sphère ménagère, étant rappelé que l’intimé a tenu compte des remarques formulées par la recourante dans ses observations du 4 avril 2016 et fixé à 60% la part consacrée à l’activité lucrative et à 40% la part dévolue aux travaux ménagers.</w:t>
      </w:r>
    </w:p>
    <w:p>
      <w:r>
        <w:rPr>
          <w:b/>
        </w:rPr>
        <w:t>E. 15</w:t>
      </w:r>
    </w:p>
    <w:p>
      <w:r>
        <w:t>La recourante remet en cause la valeur probante de l'enquête ménagère et soutient que l’empêchement pour les emplettes et courses diverses est total et que l’empêchement pondéré est de 3%. Elle allègue notamment qu’elle ne peut pas faire les courses seule puisqu’elle se déplace avec des cannes anglaises. En ce qui concerne la lessive et l’entretien des vêtements, la recourante estime que l’empêchement pondéré doit être fixé à 5%, au vu du temps limité des membres de sa famille. Elle indique également que l’entretien des vêtements est impossible à réaliser car elle se déplace avec des cannes. S’agissant du poste relatif à l’alimentation, elle est d’avis qu’il ne tient pas compte du fait qu’elle ne prépare jamais seule un repas et qu’elle ne s’occupe que des tâches légères. Elle considère que l’empêchement pondéré doit être augmenté à 12%.</w:t>
      </w:r>
    </w:p>
    <w:p>
      <w:r>
        <w:rPr>
          <w:b/>
        </w:rPr>
        <w:t>E. 16</w:t>
      </w:r>
    </w:p>
    <w:p>
      <w:r>
        <w:t>a. La chambre de céans constate que l’enquête économique sur le ménage a été effectuée par une personne qualifiée au domicile de la recourante. L’infirmière a rappelé les atteintes à la santé dont souffre la recourante, soit des séquelles physiques et une dépression suite à un accident de la circulation survenu en 2012. Si elle n’a pas énuméré les limitations fonctionnelles retenues par le SMR sur la base des rapports de la CRR et du Dr G_____, elle les a tout de même prises en considération dans les empêchements puisqu’elle a notamment retenu que la recourante ne pouvait plus porter de lourdes charges, qu’elle devait alterner les positions, se reposer, fractionner son travail ou encore qu’elle ne pouvait faire que de petites choses à la fois. Elle a relaté avec précision les indications de la recourante concernant les tâches qu’elle accomplissait personnellement avant son atteinte à la santé, celles qu’elle continue à effectuer depuis lors, seule ou avec l’aide des membres de sa famille, et celles qu’elle doit dorénavant déléguer à ses proches. L’enquêtrice a dûment motivé son appréciation quant aux empêchements dans les différents champs d’activité et l’aide exigible des proches.</w:t>
      </w:r>
    </w:p>
    <w:p>
      <w:r>
        <w:t>A/3336/2016 - 21/24 - b. S’agissant plus particulièrement des emplettes et courses diverses, l’enquêtrice a noté que la recourante faisait des courses d’appoint tous les jours avec un caddie dans des commerces proches. En revanche, pour les achats plus lourds et pour ranger les denrées, elle était accompagnée et aidée d’un membre de la famille. La recourante ne soutient pas que ces indications ne correspondent pas à ses propres déclarations et seraient erronées, quand bien même elle affirme dorénavant être dans l’impossibilité de faire des courses au motif qu’elle se déplace avec deux cannes. À cet égard, il sied de relever que si le Dr E______ a indiqué que la recourante marchait avec deux cannes et déclarait ne pas pouvoir faire des courses seule (cf. rapport du 5 mai 2014), les rapports postérieurs permettent de retenir que la recourante se déplace désormais avec une seule canne (cf. rapport de la CRR du 5 septembre 2014 qui indique que la recourante peut marcher quinze minutes avant d’avoir besoin d’une canne pour s’appuyer ; rapport du Dr G_____ du 2 mars 2015 qui mentionne que la recourante était munie d’une canne lorsqu’elle s’est présentée au premier rendez-vous). L’argument avancé par la recourante ne permet donc pas de douter de l’exactitude des informations mentionnées dans le rapport d’enquête. L’empêchement de 30% et l’exigibilité de 30% tiennent suffisamment compte de la situation de la recourante, laquelle n’est entravée que pour les courses lourdes et le rangement des provisions, tâches pour lesquelles elle est aidée par ses enfants. c. Concernant l’entretien des vêtements, l’enquêtrice a mentionné que la recourante continue à faire les lessives, à sortir le linge du lave-linge, à le suspendre, à repasser « ce qui est nécessaire » et à plier le linge. Elle n’a besoin d’aide que pour sortir les grosses pièces de la machine, repasser et ranger le linge. Les explications de la recourante quant à l’utilisation de cannes anglaises ne sont pas de nature à douter du contenu du rapport d’enquête, ce d’autant plus que le Dr E______ indiquait en 2013 que la recourante abandonnait de temps en temps ses cannes à l’intérieur (cf. rapport du 25 novembre 2013) et en 2014, qu’elle marchait sans canne à la maison (rapport du 5 mai 2014). En outre, comme déjà mentionné, le rapport de la CRR du 5 septembre 2014 permet de retenir que la recourante peut marcher une quinzaine de minutes sans aucune canne. Enfin, il ressort du rapport d’expertise du 2 mars 2015 du Dr G_____ que la recourante n’a pas besoin d’aide pour s’occuper de la lessive. L’empêchement de 30% et l’exigibilité de 30% retenus par l’enquêtrice n’est ainsi pas critiquable et tient pleinement compte des déclarations de la recourante, laquelle sollicite son mari pour sortir les grosses pièces de la machine à laver, ses filles pour repasser plus que le nécessaire et ses enfants pour ranger le linge plié. d. Enfin, en ce qui concerne le poste lié à l’alimentation, il ressort du rapport d’enquête que la cuisine est moderne et bien équipée, notamment d’un lave- vaisselle, et que la recourante peut s’y assoir pour préparer les repas. Les trois enfants ne rentrent plus à midi et toute la famille mange ensemble le soir. La recourante a déclaré qu’elle ne pouvait plus faire des repas compliqués, qu’elle commençait à cuisiner à l’avance pour pouvoir se reposer et qu’elle pouvait</w:t>
      </w:r>
    </w:p>
    <w:p>
      <w:r>
        <w:t>A/3336/2016 - 22/24 - compter sur l’aide de ses trois enfants pour mettre la table et débarrasser, ainsi que sur celle de ses filles pour faire à manger. En outre, son mari avait toujours fait les vitres. Il apparaît ainsi que l’empêchement de 50% et l’exigibilité de 30% tiennent raisonnablement compte de la situation de la recourante et des solutions trouvées au sein de la famille pour suppléer à ses empêchements, étant rappelé que la recourante peut effectuer ces tâches à son rythme et les fractionner.</w:t>
      </w:r>
    </w:p>
    <w:p>
      <w:r>
        <w:rPr>
          <w:b/>
        </w:rPr>
        <w:t>E. 17</w:t>
      </w:r>
    </w:p>
    <w:p>
      <w:r>
        <w:t>a. La recourante reproche à l’enquêtrice de ne pas avoir tenu compte du fait que son mari travaille à 100% et que ses trois enfants étudient, de sorte que leur aide est limitée aux soirs et aux weekends. En outre, depuis le 1er septembre 2015, sa fille aînée ne vit plus à Genève et seuls deux enfants peuvent apporter leur soutien. b. La chambre de céans constate cependant que l’enquêtrice a expressément relevé que l’époux de la recourante était employé à temps complet et que les trois enfants du couple suivaient des études. Le fait que l’aînée se soit installée à Lausanne postérieurement à l’enquête ménagère et ne partage plus le logement familial ne permet pas de remettre en cause l’exigibilité retenue. Il est en effet rappelé que, dans le cadre de son obligation de réduire le dommage, la recourante est notamment tenue de demander l'aide de ses proches dans une mesure convenable. Que les deux enfants de la recourante doivent se répartir les tâches précédemment effectuées par leur sœur aînée n’apparaît pas comme une charge excessive, ce d’autant plus que le départ de celle-ci entraîne également une certaine diminution du travail ménager. La fixation d'une exigibilité globale de 29% à la charge du mari et de deux enfants nés en 1995 et 1998 n’est pas critiquable. À titre d’exemple, le Tribunal fédéral a récemment confirmé qu’une exigibilité globale de 26,5 % à charge d’une fille majeure était exigible (arrêt du Tribunal fédéral 9C_666/2016 du 23 janvier 2017). c. Contrairement à ce que soutient la recourante, il n’existe pas de divergences entre l’enquête ménagère et les avis médicaux. Au contraire, les déclarations consignées par l’enquêtrice correspondent à celles relatées par le Dr G_____ trois mois auparavant. En effet, l’expert psychiatre a mentionné les tâches encore assumées par la recourante avec des pauses régulières, soit l’époussetage, le rangement du lit et la lessive, ainsi que celles pour lesquelles l’intéressée a besoin d’aide, comme passer l’aspirateur, faire des courses et cuisiner. C’est encore le lieu de relever que ces descriptions ne sont pas contradictoires avec celles ressortant des autres pièces médicales du dossier, mais attestent d’une évolution depuis le sinistre. En effet, le Dr E______ a mentionné, à moins d’une année de l’accident, que la recourante faisait un petit peu son ménage, mais devait s’allonger après 10 minutes, et était aidée par ses enfants pour la cuisine (rapport du 25 novembre 2013). Six mois plus tard, ce médecin a indiqué que la recourante préparait le petit déjeuner et était aidée par ses filles pour le repas de midi, qu’elle sortait marcher, mais ne pouvait pas faire les courses seule, qu’elle faisait le ménage superficiellement, mais était incapable de faire la poussière, et se reposait la plupart du temps entre chaque activité (rapport du 5 mai 2014). Dix mois plus tard, le Dr G_____ a relaté que la recourante était en mesure de faire, à son rythme</w:t>
      </w:r>
    </w:p>
    <w:p>
      <w:r>
        <w:t>A/3336/2016 - 23/24 - et avec des pauses régulières, la poussière ou les courses seules au moyen d’un caddie (rapport du 2 mars 2015). La simple mention toute générale de la Dresse H_____, selon laquelle la recourante était incapable de faire ce qu’elle faisait auparavant, « c’est-à-dire s’occuper de son ménage et travailler » (cf. rapport du 9 avril 2015) ne permet pas de remettre en cause les informations claires et détaillées décrites dans les autres rapports médicaux.</w:t>
      </w:r>
    </w:p>
    <w:p>
      <w:r>
        <w:rPr>
          <w:b/>
        </w:rPr>
        <w:t>E. 18</w:t>
      </w:r>
    </w:p>
    <w:p>
      <w:r>
        <w:t>À défaut de griefs précis et étayés propres à faire naître un doute sur le bien-fondé des conclusions du rapport d'enquête, rédigé par une personne qualifiée, en pleine connaissance de la situation médicale et locale, il n'y a pas lieu de s'écarter du degré d'incapacité retenu dans le rapport d'enquête économique sur le ménage du 23 juin 2015, lequel revêt pleine valeur probante. Partant, le degré d’invalidité dans la sphère ménagère fixé à 6% peut être confirmé et une nouvelle enquête ménagère ne se justifie pas.</w:t>
      </w:r>
    </w:p>
    <w:p>
      <w:r>
        <w:rPr>
          <w:b/>
        </w:rPr>
        <w:t>E. 19</w:t>
      </w:r>
    </w:p>
    <w:p>
      <w:r>
        <w:t>En ce qui concerne l’invalidité dans la sphère professionnelle, l’intimé a considéré, sur la base de l’avis de la Dresse I_____ du SMR, lui-même fondé sur les rapports de la CRR et du Dr G_____, que la recourante était totalement incapable de travailler depuis le mois de décembre 2012 en raison d’une atteinte psychique grave. Il a donc fixé le degré d’invalidité à 60%, ce qui n’est pas litigieux. Le degré d’invalidité total s’élève donc à 66%.</w:t>
      </w:r>
    </w:p>
    <w:p>
      <w:r>
        <w:rPr>
          <w:b/>
        </w:rPr>
        <w:t>E. 20</w:t>
      </w:r>
    </w:p>
    <w:p>
      <w:r>
        <w:t>a. Au vu de ce qui précède, la décision attaquée doit être confirmée en tant qu’elle octroie à la recourante un trois-quarts de rente à compter du 1er décembre 2013. Compte tenu de ce qui précède, le recours doit être rejeté. b. La procédure n’étant plus gratuite depuis le 1er juillet 2006 (art. 69 al. 1bis LAI), il y a lieu de condamner la recourante au paiement d’un émolument de CHF 200.-.</w:t>
      </w:r>
    </w:p>
    <w:p>
      <w:r>
        <w:t>A/3336/2016 - 24/24 -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