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ATAS/667/2025 vom 4. September 2025</w:t>
      </w:r>
    </w:p>
    <w:p>
      <w:r>
        <w:t>GE Cour de justice, 2025-09-04, FR</w:t>
      </w:r>
    </w:p>
    <w:p>
      <w:r>
        <w:rPr>
          <w:b/>
        </w:rPr>
        <w:t xml:space="preserve">Quelle: </w:t>
      </w:r>
      <w:r>
        <w:t>https://mcp.opencaselaw.ch/entscheid/ge_gerichte_ATAS_667_2025</w:t>
      </w:r>
    </w:p>
    <w:p>
      <w:r>
        <w:t>FR: GE_GERICHTE ATAS/667/2025 du 4 septembre 2025</w:t>
      </w:r>
    </w:p>
    <w:p>
      <w:r>
        <w:t>IT: GE_GERICHTE ATAS/667/2025 del 4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compte tenu des explications du recourant et de ce que le délai de recours de 30 jours après la notification du 12 octobre 2023 est venu à échéance un samedi et a été reporté au prochain jour utile, le recours est recevable (art. 60 al. 1 LPGA et art. 38 al. 3 LPGA cum art. 60 al. 2 LPGA).</w:t>
      </w:r>
    </w:p>
    <w:p>
      <w:r>
        <w:rPr>
          <w:b/>
        </w:rPr>
        <w:t>E. 2</w:t>
      </w:r>
    </w:p>
    <w:p>
      <w:r>
        <w:t>Le litige porte sur le bien-fondé de la décision de l'intimé de nier au recourant le droit aux prestations.</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1er janvier 2022. Toutefois, la demande de prestations ayant été déposée en avril 2013 et le délai d'attente d'une année venant à échéance en février 2014, un éventuel droit à une rente d'invalidité naîtrait antérieurement au 1er janvier 2022 (cf. art. 28 al. 1 let. b et 29 al. 1 LAI), de sorte que les dispositions applicables seront citées dans leur teneur en vigueur jusqu'au 31 décembre 2021.</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w:t>
      </w:r>
    </w:p>
    <w:p>
      <w:r>
        <w:t>A/3776/2023 - 10/25 -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Conformément aux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w:t>
      </w:r>
    </w:p>
    <w:p>
      <w:r>
        <w:t>A/3776/2023 - 11/25 -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w:t>
      </w:r>
    </w:p>
    <w:p>
      <w:r>
        <w:t>A/3776/2023 - 12/25 -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t>A/3776/2023 - 13/25 -</w:t>
      </w:r>
    </w:p>
    <w:p>
      <w:r>
        <w:rPr>
          <w:b/>
        </w:rPr>
        <w:t>E. 4</w:t>
      </w:r>
    </w:p>
    <w:p>
      <w:r>
        <w:t>En l'espèce, il s'agit en premier lieu de d'examiner si l'instruction médicale menée par l'intimé est probante, le recourant contestant disposer d'une capacité de travail de 70% dans une activité adaptée.</w:t>
      </w:r>
    </w:p>
    <w:p>
      <w:r>
        <w:rPr>
          <w:b/>
        </w:rPr>
        <w:t>E. 4.1</w:t>
      </w:r>
    </w:p>
    <w:p>
      <w:r>
        <w:t>À cet égard, il sied de rappeler que, dans son arrêt du 2 février 2022 (ATAS/85/2022), la Cour de céans a constaté que l'expertise de la PMU réalisée en 2017 reposait sur un examen complet du recourant, notamment radiologique, que ses plaintes avaient été prises en compte, que les experts avaient pris connaissance de l'intégralité du dossier et avaient procédé à une discussion du cas, ainsi qu'à un colloque de synthèse. Leurs conclusions étaient par ailleurs claires et bien motivées, de sorte que le rapport d'expertise devait se voir reconnaître pleine valeur probante. Si la Cour a néanmoins renvoyé la cause à l'intimé pour instruction complémentaire, c’est parce que la décision de refus de prestations avait été rendue trois ans après l'expertise et que l'état de santé du recourant semblait s'être aggravé depuis lors, selon ses médecins traitants. À la suite de ce renvoi, le cas a à nouveau été soumis à la PMU, qui, le 31 octobre 2022, a rendu un complément d'expertise, comprenant des évaluations en médecine interne, psychiatrie et orthopédie. La Cour de céans constate que cette nouvelle expertise est fondée sur toutes les pièces du dossier, qu'elle comprend une anamnèse, qu'elle tient compte des plaintes exprimées par le recourant et de sa description d'une journée-type. Les experts ont par ailleurs consigné le résultat de leurs constatations objectives à la suite de leurs examens cliniques respectifs et ont précisé les diagnostics et limitations fonctionnelles retenus. Ils ont au surplus procédé à une appréciation générale interdisciplinaire de la capacité de travail du recourant, après évaluation consensuelle. Ce complément d'expertise répond ainsi sur le plan formel à tous les réquisits jurisprudentiels pour se voir reconnaître une pleine valeur probante. Sur le fond, les experts ont retenu que le status ne montrait pas de modification significative au niveau du rachis, la situation étant similaire à celle de 2017. Même si le recourant appréhendait de se luxer l’épaule, celle-ci restait bien mobile et aucun signe clinique d'une tendinopathie de la coiffe des rotateurs n’a été décelé. Aucun mouvement particulier d'épargne du dos ou de l'épaule n’a par ailleurs été observé, alors que plusieurs signes de non-organicité selon Waddell ont été recensés. Un névrome de Morton a été potentiellement décrit depuis 2020, mais l'examen des avants-pieds s’est révélé dans les limites de la norme et le signe distinctif typique de ces névromes était négatif au status. La tolérance au traitement par CPAP a été améliorée après adaptation du masque et, malgré une fatigue diurne décrite, aucun signe de fatigabilité n’a été constaté par les experts, même après des entretiens prolongés. Le recourant ne rapportait pas non plus devoir faire des siestes répétées. Au plan psychiatrique, le diagnostic de trouble dépressif récurrent retenu dans l'expertise de 2017 a été écarté, compte tenu de l'absence de périodes de rémission</w:t>
      </w:r>
    </w:p>
    <w:p>
      <w:r>
        <w:t>A/3776/2023 - 14/25 - et d'amélioration, au profit de celui d'épisode dépressif moyen. Cela ne modifiait cependant pas l'intensité des troubles, qualifiés de moyens. La vie quotidienne du recourant ne s'était pas non plus modifiée de manière significative, pas plus que le traitement médicamenteux. Globalement, les experts ont retenu une capacité de travail du recourant de 70% dans une activité adaptée aux limitations ostéo-articulaires, depuis le début du suivi psychiatrique en 2014, ce pourcentage tenant compte de la fatigue, de la fatigabilité et du manque de motivation lié à l'état dépressif essentiellement. Ils ont notamment motivé leur point de vue par le fait que l'examen clinique ne montrait ni ralentissement psychomoteur, ni état de prostration, ni trouble cognitif et qu'il existait un continuum général dans la situation de santé du recourant depuis 2014.</w:t>
      </w:r>
    </w:p>
    <w:p>
      <w:r>
        <w:rPr>
          <w:b/>
        </w:rPr>
        <w:t>E. 4.2</w:t>
      </w:r>
    </w:p>
    <w:p>
      <w:r>
        <w:t>Le recourant allègue que sa capacité de travail aurait été surestimée et se serait détériorée. Cela étant, il ne met en évidence aucun élément objectif qui serait de nature à mettre en doute les conclusions des experts. S'agissant des pièces médicales versées au dossier postérieurement au complément d'expertise, il sied de constater que la Dre H______, dans son rapport du 7 mars 2024, ne fait état d’aucun diagnostic qui aurait été ignoré par les experts. Elle ne se prononce au demeurant pas sur la capacité de travail du recourant. Lors de son audition par la Cour de céans, cette praticienne a par ailleurs admis ne pas avoir relevé d'erreur évidente concernant les diagnostics ou les limitations fonctionnelles retenus dans l'expertise de 2022. Dans ces circonstances, et au vu de la divergence consacrée entre mandat thérapeutique et mandat d'expertise, l’appréciation personnelle du médecin traitant généraliste selon laquelle l'accumulation des douleurs cervico-lombaires, et particulièrement les atteintes psychiques, conduiraient à une totale incapacité de travail de son patient, même dans une activité adaptée, n'est pas suffisante pour remettre en cause les conclusions motivées des experts spécialistes de la PMU. Il en va de même des prises de position de la Dre I______. Dans son rapport du 4 mars 2024, la psychiatre ne fait en effet pas état de nouveaux diagnostics, mais signale au contraire la persistance de l'état dépressif, sans amélioration visible et sans changement de status psychique ou somatique. Si elle retient, contrairement au Dr F______, un trouble dépressif récurrent au vu d'un épisode dépressif déjà survenu dans le passé, elle n’allègue pas que cette divergence de diagnostic aurait des conséquences sur l'intensité des symptômes présentés par le recourant, qui restent moyens selon son appréciation (F33.11). Par ailleurs, lors de son audition, la Dre I______ a essentiellement motivé son appréciation divergente de la capacité de travail du recourant par rapport à celle de l'expert (50% contre 70%) par le fait que ce dernier pourrait ne pas avoir eu une vision complète de la situation vu le temps limité de l'expertise, par le fait que son patient était affecté d'une pathologie mixte et par la persistance dans le temps de la situation.</w:t>
      </w:r>
    </w:p>
    <w:p>
      <w:r>
        <w:t>A/3776/2023 - 15/25 - Or, la question de la durée de l'expertise n'est pas en soi un critère de valeur probante d'un rapport médical et ne saurait remettre en question la valeur du travail de l'expert, dont le rôle consiste précisément à se prononcer sur l'état de santé psychique de l'assuré dans un délai relativement bref (arrêts du Tribunal fédéral 9C_457/2021 du 13 avril 2022 consid. 6.2 et 9C_542/2020 consid. 7.4 et les références). Le cumul des diverses affections présentées par le recourant et l'évaluation de sa capacité de travail malgré celles-ci constitue par ailleurs précisément l'objectif d'une expertise multidisciplinaire et de la discussion consensuelle entre les experts. Cette évaluation consensuelle a en l'occurrence eu lieu et les experts ont notamment tenu compte de l'ancienneté des pathologies dans leur évaluation. En définitive, leurs conclusions ne sont pas contestées de manière précise par la psychiatre traitante, celle-ci ne faisant pas état d'éléments objectivement vérifiables ayant été ignorés par eux, mais y opposant simplement son appréciation personnelle. Quant au Dr J______, neurochirurgien du recourant, il a exprimé son accord avec l'expertise orthopédique du Dr G______, en particulier concernant l'appréciation des capacités, ressources et difficultés et de la capacité de travail du recourant dans une activité adaptée. Il a également précisé quelles professions pouvaient être adaptées aux limitations fonctionnelles ostéo-musculaires de l’assuré et en a cité quelques-unes. La mention du neurochirurgien, dans son premier rapport du 1er septembre 2024, que le recourant ne souhaitait pas d'intervention chirurgicale et le fait qu'il ait ultérieurement indiqué ne pas retenir un tel geste thérapeutique en l'absence de claire douleur radiculaire n'a par ailleurs pas la portée que lui prête le recourant. Les experts de la PMU n'ont en effet pas retenu qu'une telle thérapie aurait un impact sur sa capacité de travail et l'intimé n'a pas ignoré la pathologie au motif qu'elle pourrait être traitée (cf. à ce sujet, arrêt du Tribunal fédéral 9C_327/2022 du 10 octobre 2023 consid. 4.2 et la référence). L'on ne se trouve donc pas dans une situation de refus de soins. Par ailleurs, le recourant ne peut tirer aucun argument du rapport d'IRM du 30 septembre 2024, ni de la consultation de pneumologie du 20 septembre 2024. Le premier rapport ne fait pas état de troubles du rachis fondamentalement différents de ceux retenus dans l'expertise de 2022, n'aborde pas la question essentielle des capacités fonctionnelles du recourant et indique expressément que les résultats radiologiques doivent être intégrés à l'examen clinique. Quant à la consultation de suivi pneumologique aux HUG en septembre 2024, elle ne pose pas de diagnostic nouveau, le syndrome d'apnées du sommeil de degré sévère ayant déjà été établi par la polysomnographie réalisée en octobre 2014, et l'expertise de la PMU de 2017 retenant déjà le caractère très sévère du trouble, mais sans somnolence diurne pathologique. L'absence de somnolence pathologique a par ailleurs de nouveau été constatée par les experts en 2022, ceux- ci n'ayant pas noté de signes de fatigabilité, et ne saurait être valablement remise en question par la simple mention qu'une thérapie cognitive et comportementale</w:t>
      </w:r>
    </w:p>
    <w:p>
      <w:r>
        <w:t>A/3776/2023 - 16/25 - ne pourrait être envisagée que si de tels effets étaient absents, ce d'autant plus que les mesures faites en septembre 2024 ne semblent montrer aucune déficience à cet égard (Epworth à 8/24, soit inférieur à 10). Quant à l'argument général du recourant selon lequel il serait notoire que des centres d'expertises médicales rendent des expertises de complaisance pour les offices cantonaux de l'assurance-invalidité, il est dénué de toute pertinence dans la mesure où le recourant n’évoque aucun élément qui permettrait de penser que, dans le cas concret, les expertises de la PMU seraient de telle nature. Les affaires médiatisées auxquelles se réfère le recourant concernent d’autres centres d’expertise que la PMU. Enfin, le fait que le recourant n'ait éventuellement pas eu connaissance du complément d'expertise de la PMU de 2022 avant de formuler ses observations à la suite du projet de décision du 16 juin 2023 n'a aucune incidence sur le bien- fondé des appréciations médicales des experts. Le recourant ne se prévaut par ailleurs pas d’une violation de son droit d'être entendu et, dans cette mesure, il n'y a pas lieu d'examiner si la nouvelle communication de l'expertise, à son conseil, la veille de l'échéance du délai prolongé pour remettre des observations complémentaires était suffisante, sachant que le recourant n'a pas complété ses écritures avant la décision du 10 octobre 2023. Au demeurant et, quoi qu’il en soit, on rappellera à toutes fins utiles que la juridiction de céans dispose d'un plein pouvoir d'examen en fait et en droit et qu'une éventuelle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consid.2.2 ; 127 V 431 consid. 3d/aa ; 126 V 130 consid. 2b).</w:t>
      </w:r>
    </w:p>
    <w:p>
      <w:r>
        <w:rPr>
          <w:b/>
        </w:rPr>
        <w:t>E. 4.3</w:t>
      </w:r>
    </w:p>
    <w:p>
      <w:r>
        <w:t>Au vu de ce qui précède, le caractère probant de l'instruction médicale menée par l'intimé doit être confirmé, de sorte qu’il convient de se rallier aux conclusions des experts au sujet de la capacité de travail du recourant (70% depuis janvier 2014, dans une activité adaptée). Par appréciation anticipée des preuves, les mesures d'instruction complémentaires sollicitées par le recourant sont rejetées, notamment la demande de nouvelle expertise multidisciplinaire et d'audition de la Dre K______, ces actes d'instruction n'apparaissant pas utiles pour la solution du litige.</w:t>
      </w:r>
    </w:p>
    <w:p>
      <w:r>
        <w:rPr>
          <w:b/>
        </w:rPr>
        <w:t>E. 5</w:t>
      </w:r>
    </w:p>
    <w:p>
      <w:r>
        <w:t>Il reste maintenant à se prononcer sur le degré d'invalidité du recourant.</w:t>
      </w:r>
    </w:p>
    <w:p>
      <w:r>
        <w:rPr>
          <w:b/>
        </w:rPr>
        <w:t>E. 5.1</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w:t>
      </w:r>
    </w:p>
    <w:p>
      <w:r>
        <w:t>A/3776/2023 - 17/25 -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w:t>
      </w:r>
    </w:p>
    <w:p>
      <w:r>
        <w:rPr>
          <w:b/>
        </w:rPr>
        <w:t>E. 5.1.1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 Tel sera le cas également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(arrêts du Tribunal fédéral I 168/05 du 24 avril 2006 consid. 3.3 ; B 80/01 du 17 octobre 2003 consid. 5.2.2).</w:t>
      </w:r>
    </w:p>
    <w:p>
      <w:r>
        <w:t>A/3776/2023 - 18/25 -</w:t>
      </w:r>
    </w:p>
    <w:p>
      <w:r>
        <w:rPr>
          <w:b/>
        </w:rPr>
        <w:t>E. 5.1.2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135 V 297 consid. 5.2 et les références). Dans ce cas, il convient de se fonder, en règle générale, sur les salaires mensuels indiqués dans la table TA1 de l'ESS, à la ligne « total secteur privé » (ATF 124 V 321 consid. 3b/aa), étant précisé que, depuis l'ESS 2012, il y a lieu d'appliquer le tableau TA1_skill_ level (ATF 142 V 178).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 9C_242/2012 du 13 août 2012 consid. 3).</w:t>
      </w:r>
    </w:p>
    <w:p>
      <w:r>
        <w:rPr>
          <w:b/>
        </w:rPr>
        <w:t>E. 5.1.3</w:t>
      </w:r>
    </w:p>
    <w:p>
      <w:r>
        <w:t>Lorsque les revenus avec et sans invalidité sont basés sur la même tabelle statistique, il n'est pas nécessaire de les chiffrer précisément, dans la mesure où le taux d'invalidité se confond avec le taux d'incapacité de travail. Dans ce cas, le degré d'invalidité correspond en effet au degré d'incapacité de travail, compte tenu d'une éventuelle déduction du salaire fondé sur les statistiques, qui ne doit pas dépasser 25%. Il ne s'agit pas d'une « comparaison en pour-cent » au sens de l'ATF 114 V 310 consid. 3a, mais d'une simplification purement arithmétique (arrêt du Tribunal fédéral 8C_111/2023 du 12 octobre 2023 consid. 6.2 et les références).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(arrêt du Tribunal fédéral 9C_842/2018 du 7 mars 2019 consid. 5.1 et les références).</w:t>
      </w:r>
    </w:p>
    <w:p>
      <w:r>
        <w:rPr>
          <w:b/>
        </w:rPr>
        <w:t>E. 5.2</w:t>
      </w:r>
    </w:p>
    <w:p>
      <w:r>
        <w:t>Conformément à la jurisprudence développée avant l'introduction au 1er janvier 2022 du nouvel art. 26bis al. 3 RAI – disposition ici inapplicable –, la mesure dans laquelle le revenu d'invalide fondé sur les statistiques doit être réduit, dépend de l'ensemble des circonstances personnelles et professionnelles du cas</w:t>
      </w:r>
    </w:p>
    <w:p>
      <w:r>
        <w:t>A/3776/2023 - 19/25 -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 l'abattement justifié dans un cas concret relève du pouvoir d'appréciation (ATF 132 V 393 consid. 3.3). Contrairement au pouvoir d'examen du Tribunal fédéral, celui de l'autorité judiciaire de première instance concernant l'étendue de l'abattement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et la référence).</w:t>
      </w:r>
    </w:p>
    <w:p>
      <w:r>
        <w:rPr>
          <w:b/>
        </w:rPr>
        <w:t>E. 5.2.1</w:t>
      </w:r>
    </w:p>
    <w:p>
      <w:r>
        <w:t>Une réduction au titre du handicap dépend de la nature des limitations fonctionnelles présentées et n'entre en considération que si, sur un marché du travail équilibré, il n'y a plus un éventail suffisamment large d'activités accessibles à l'assuré (arrêt du Tribunal fédéral 8C_280/2022 du 1er mars 2023 consid. 7.2.3 et les références).</w:t>
      </w:r>
    </w:p>
    <w:p>
      <w:r>
        <w:rPr>
          <w:b/>
        </w:rPr>
        <w:t>E. 5.2.2</w:t>
      </w:r>
    </w:p>
    <w:p>
      <w:r>
        <w:t>Concernant l'âge, bien qu'il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la jurisprudence, l'effet de l'âge combiné avec un handicap doit faire l'objet d'un examen dans le cas concret, les possibles effets pénalisants</w:t>
      </w:r>
    </w:p>
    <w:p>
      <w:r>
        <w:t>A/3776/2023 - 20/25 -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w:t>
      </w:r>
    </w:p>
    <w:p>
      <w:r>
        <w:rPr>
          <w:b/>
        </w:rPr>
        <w:t>E. 5.2.3</w:t>
      </w:r>
    </w:p>
    <w:p>
      <w:r>
        <w:t>Le Tribunal fédéral a déjà eu l'occasion de constater que le travail à plein temps n'est pas nécessairement mieux rémunéré que le travail à temps partiel ; dans certains domaines d'activités, les emplois à temps partiel sont en effet répandus et répondent à un besoin de la part des employeurs, qui sont prêts à les rémunérer en conséquence (ATF 126 V 75 consid. 5a/cc ;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par ex., arrêt du Tribunal fédéral 9C_751/2011 du 30 avril 2012 consid. 4.2.2), la situation se présente différemment pour les hommes ; le travail à temps partiel peut en effet être synonyme d'une perte de salaire pour les travailleurs à temps partiel de sexe masculin (arrêt du Tribunal fédéral 8C_805/2016 du 22 mars 2017 consid. 3.2).</w:t>
      </w:r>
    </w:p>
    <w:p>
      <w:r>
        <w:rPr>
          <w:b/>
        </w:rPr>
        <w:t>E. 5.3</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La notion de marché équilibré du travail, au sens de l'art. 16 LPGA, est ainsi une notion théorique et abstraite qui sert de critère de distinction entre les cas tombant sous le coup de l'assurance-chômage et ceux qui relèvent de l'assurance-invalidité.</w:t>
      </w:r>
    </w:p>
    <w:p>
      <w:r>
        <w:t>A/3776/2023 - 21/25 -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 du Tribunal fédéral 9C_248/2018 du 19 septembre 2018 consid. 6.2 et les références).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La jurisprudence a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w:t>
      </w:r>
    </w:p>
    <w:p>
      <w:r>
        <w:rPr>
          <w:b/>
        </w:rPr>
        <w:t>E. 6</w:t>
      </w:r>
    </w:p>
    <w:p>
      <w:r>
        <w:t>En l'espèce, le recourant conteste le calcul du degré d’invalidité, plus particulièrement le montant retenu à titre de revenu avec invalidité dans une activité adaptée – laquelle n'est pas spécifiée, reproche-t-il –, au motif que cela ne tiendrait nullement compte de la réalité de son état et de ses limitations fonctionnelles. Il argue qu’il n’existerait sur le marché du travail aucune activité professionnelle adaptée à ses limitations concrètes, psychiques et somatiques. Il rappelle qu’il est né en 1968, arrivé en Suisse en 2000 en tant que réfugié</w:t>
      </w:r>
    </w:p>
    <w:p>
      <w:r>
        <w:t>A/3776/2023 - 22/25 - politique, qu’il ne dispose d’aucune formation et n'a plus exercé d'activité professionnelle depuis plus de treize ans.</w:t>
      </w:r>
    </w:p>
    <w:p>
      <w:r>
        <w:rPr>
          <w:b/>
        </w:rPr>
        <w:t>E. 6.1</w:t>
      </w:r>
    </w:p>
    <w:p>
      <w:r>
        <w:t>Concernant en premier lieu l'absence de désignation d'une activité adaptée, le Tribunal fédéral a déjà jugé qu'il serait certainement judicieux que l'office AI donnât à la personne assurée, à titre d'information, des exemples d'activités adaptées qu'elle pourrait encore exercer, mais qu'il convient néanmoins d'admettre que le marché du travail offre un éventail suffisamment large d'activités légères accessibles sans aucune formation particulière, citant des activités simples de vérification ou de contrôle (arrêt du Tribunal fédéral 9C_279/2008 du 16 décembre 2008 consid. 4). Dans sa réponse au recours, l'intimé a en outre donné des exemples d'emplois (démarcheur téléphonique ou agent accueil). Le Dr J______ a pour sa part mentionné ceux de caissier, conseiller en vente, chauffeur, et veilleur de jour ou de nuit, comme étant adaptés aux atteintes du rachis et aux limitations qui en découlent. L'argument tiré de la non-désignation d'activités adaptées tombe ainsi à faux.</w:t>
      </w:r>
    </w:p>
    <w:p>
      <w:r>
        <w:rPr>
          <w:b/>
        </w:rPr>
        <w:t>E. 6.2</w:t>
      </w:r>
    </w:p>
    <w:p>
      <w:r>
        <w:t>En second lieu, concernant le grief de l'absence d'activité professionnelle adaptée sur le marché du travail, le recourant ne critique pas précisément en quoi les activités susnommées seraient incompatibles avec ses limitations fonctionnelles. Si certaines des professions mentionnées par le Dr J______ semblent en effet ne pas être strictement adaptées aux limitations autres que rachidiennes (activités de caissier et de chauffeur qui apparaissent incompatibles avec les troubles de l'épaule ou le syndrome d'apnées du sommeil), il n'en demeure pas moins que le marché équilibré du travail offre, selon la jurisprudence, un éventail suffisamment large d'activités légères accessibles sans aucune formation particulière. Il sied en outre de rappeler que, dans le cas d'espèce, les limitations retenues par les experts – seules déterminantes – constituent, sur le plan somatique, des mesures classiques d'épargne du rachis lombaire et de l'épaule qui n'empêchent pas des activités légères et non répétitives pour l'épaule. L'incapacité à entreprendre plus que des courts déplacements à plat évoquée par le Dr G______ n'interfère par ailleurs pas avec des activités de surveillance ou de contrôle, de démarcheur téléphonique ou d'agent d'accueil. Quant aux limitations d'ordre psychique (manque d'énergie, fatigue, manque de motivation, irritabilité et endurance limitée), bien que restreignant les ressources du recourant, elles ne proscrivent pas d'activités professionnelles en tant que telles, mais ont conduit à lui reconnaître une capacité de travail limitée à 70% dans toute activité. Enfin l'éloignement du marché du travail, en l’occurrence, n'est pas imputable à la seule atteinte à la santé, puisque, selon les constatations médicales, le recourant dispose d'une capacité résiduelle de travail de 70% depuis janvier 2014. Le déconditionnement professionnel, qui semble en partie influencé par des facteurs psychosociaux et socioculturels, n'est ainsi pas pertinent (cf. arrêt du Tribunal fédéral 9C_286/2015 du 12 janvier 2016 consid. 4.2).</w:t>
      </w:r>
    </w:p>
    <w:p>
      <w:r>
        <w:t>A/3776/2023 - 23/25 - Par conséquent, les perspectives de gain du recourant sur le marché équilibré du travail n'apparaissent pas irréalistes et il ne peut être retenu qu'il ne serait pas en mesure d'exploiter sa capacité de travail résiduelle dans le circuit professionnel. Le grief doit ainsi être écarté.</w:t>
      </w:r>
    </w:p>
    <w:p>
      <w:r>
        <w:rPr>
          <w:b/>
        </w:rPr>
        <w:t>E. 6.3</w:t>
      </w:r>
    </w:p>
    <w:p>
      <w:r>
        <w:t>Pour le surplus, le calcul de l'invalidité opéré par l'intimé est conforme au droit. Le choix de l'intimé de fonder le revenu d'invalide et de valide en fonction des statistiques doit tout d'abord être confirmé puisque, d'une part, le recourant n'a pas repris d'emploi après son invalidité et, d'autre part, il n'a que très peu travaillé en Suisse et n'a exercé la profession de laveur de vitres que durant neuf mois en 2010. Son dernier revenu de personne valide n'apparaît ainsi pas représentatif de ce qu'il aurait été en mesure de réaliser en bonne santé. La référence aux statistiques générales toutes professions confondues pour fixer le revenu sans invalidité est quoi qu'il en soit en faveur du recourant, le salaire ainsi retenu étant supérieur à celui qu'il gagnait auprès de l'entreprise B______SA et supérieur à celui de laveur de vitres (référence 1______, correspondant à la ligne ESS 77-82). Dans les situations où les revenus de valide et d'invalide sont fixés sur les mêmes tabelles statistiques, il est par ailleurs inutile de chiffrer précisément ces deux revenus, le taux d'invalidité se confondant avec le taux d'incapacité de travail, in casu de 30%. Un éventuel abattement sur le revenu avec invalidité doit néanmoins être examiné (cf. consid. 5.1.3 supra). En l'occurrence, l'intimé a admis un abattement de 10% en raison des limitations ostéo-articulaires et du taux d'activité réduit, se conformant ainsi aux considérants de l'ATAS/85/2022 du 2 février 2022. Le recourant n'élève aucune critique contre ce taux et, au vu des circonstances du cas d'espèce, une telle déduction doit être confirmée. Il faut en effet tenir compte de ce que les limitations fonctionnelles psychiques ont déjà été prises en considération dans l'évaluation de la capacité de travail du recourant, de sorte que seules les limitations somatiques peuvent être pertinentes s'agissant d'une réduction à titre de handicap. En outre, concernant l'abattement en raison du taux d'occupation réduit, il sied de constater que, en 2014, le salaire des hommes sans fonction de cadre, actifs entre 50 et 74%, s'élevait à CHF 5'714.-, contre CHF 6'069.- pour la même catégorie d'employés actifs à plein temps (T18, salaire mensuel brut selon le taux d'occupation, la position professionnelle et le sexe). Il en résultait ainsi une différence de rémunération de 5.85%, qui justifie de prendre en compte ce facteur en tant que critère de réduction (arrêt du Tribunal fédéral 9C_10/2019 du 29 avril 2019 consid. 5.2.2). D'autres critères d'abattement n'apparaissent par ailleurs pas pertinents dans le cas d'espèce. En janvier 2014, le recourant n'était âgé que de 45 ans et était encore</w:t>
      </w:r>
    </w:p>
    <w:p>
      <w:r>
        <w:t>A/3776/2023 - 24/25 - éloigné de l'âge légal de la retraite. Quant aux années de services, le recourant n'a non seulement pas travaillé longuement pour un employeur en Suisse, mais encore la prise en compte d'un abattement de cette nature ne se justifie guère dans le cadre du choix du niveau de compétences 1, l'influence de la durée de service sur le salaire étant peu importante dans cette catégorie d'emplois qui ne nécessitent ni formation ni expérience professionnelle spécifique, ni par ailleurs une bonne maîtrise d'une langue nationale (arrêt du Tribunal fédéral 8C_280/2022 du 1er mars 2023 consid. 7.2.4 et les références). S'agissant enfin du statut du recourant, s'il est certes vrai qu'il dispose d'une seule autorisation de séjour (permis B) après être entré en Suisse en qualité de réfugié et que les revenus de cette catégorie de travailleurs sont souvent inférieurs au salaire médian total (en 2014, selon le tableau T12_b, CHF 5'209.- par mois pour un étranger titulaire d'un permis de séjour sans fonction de cadre contre CHF 6'057.- de salaire médian total, soit une différence de 14%), cet élément n'est néanmoins pas déterminant dans la mesure où les revenus de valide et d'invalide sont tous deux fondés sur la même tabelle statistique, de sorte qu'une réduction à ce titre devrait également intervenir pour le revenu de valide (arrêt du Tribunal fédéral 8C_736/2017 du 20 août 2018 consid. 4.3). Le degré d'invalidité du recourant s'élève par conséquent bien à 37%, comme retenu dans la décision querellée (capacité de travail de 70% dans une activité adaptée aux limitations fonctionnelles et réduction supplémentaire de 10%, cf. arrêt du Tribunal fédéral 9C_842/2018 du 7 mars 2019 consid. 5.2).</w:t>
      </w:r>
    </w:p>
    <w:p>
      <w:r>
        <w:rPr>
          <w:b/>
        </w:rPr>
        <w:t>E. 7</w:t>
      </w:r>
    </w:p>
    <w:p>
      <w:r>
        <w:t>Mal fondé, le recours est rejeté. Le recourant, qui succombe, est condamné au paiement d'un émolument de CHF 200.- (art. 69 al.1bis LAI).</w:t>
      </w:r>
    </w:p>
    <w:p>
      <w:r>
        <w:t>***</w:t>
      </w:r>
    </w:p>
    <w:p>
      <w:r>
        <w:t>A/3776/2023 - 25/25 -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