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ATAS/667/2016 vom 25. August 2016</w:t>
      </w:r>
    </w:p>
    <w:p>
      <w:r>
        <w:t>GE Cour de justice, 2016-08-25, FR</w:t>
      </w:r>
    </w:p>
    <w:p>
      <w:r>
        <w:rPr>
          <w:b/>
        </w:rPr>
        <w:t xml:space="preserve">Quelle: </w:t>
      </w:r>
      <w:r>
        <w:t>https://mcp.opencaselaw.ch/entscheid/ge_gerichte_ATAS_667_2016</w:t>
      </w:r>
    </w:p>
    <w:p>
      <w:r>
        <w:t>FR: GE_GERICHTE ATAS/667/2016 du 25 août 2016</w:t>
      </w:r>
    </w:p>
    <w:p>
      <w:r>
        <w:t>IT: GE_GERICHTE ATAS/667/2016 del 25 agosto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délai et forme prescrits par la loi, le recours est recevable compte tenu de la suspension des délais entre le 7ème jour avant Pâques et le 7ème jour après Pâques inclusivement (art. 38 al. 4a et 56 ss LPGA).</w:t>
      </w:r>
    </w:p>
    <w:p>
      <w:r>
        <w:rPr>
          <w:b/>
        </w:rPr>
        <w:t>E. 3</w:t>
      </w:r>
    </w:p>
    <w:p>
      <w:r>
        <w:t>Est litigieuse en l’occurrence la question de savoir si le recourant a droit à une rente de vieillesse non plafonnée durant la période du 1er août 2012 au 31 décembre 2015.</w:t>
      </w:r>
    </w:p>
    <w:p>
      <w:r>
        <w:t>A/1086/2016 - 4/7 -</w:t>
      </w:r>
    </w:p>
    <w:p>
      <w:r>
        <w:rPr>
          <w:b/>
        </w:rPr>
        <w:t>E. 4</w:t>
      </w:r>
    </w:p>
    <w:p>
      <w:r>
        <w:t>a. Selon l’art. 35 LAVS, la somme des deux rentes pour un couple s’élève au plus à 150% du montant maximum de la rente de vieillesse si les deux conjoints ont droit à une rente de vieillesse ou si un conjoint a droit à une rente de vieillesse et l’autre à une rente de l’assurance-invalidité (al. 1). Aucune réduction de rente n’est prévue au détriment des époux qui ne vivent plus en ménage commun suite à une décision judiciaire (al. 2). b. Le passage du régime de la rente pour couple à la rente individuelle indépendante de l'état civil a constitué l'un des axes fondamentaux de la dixième révision de l'AVS (ATF 126 V 59 consid. 4). Le principe de la répartition des revenus des époux et de leur attribution pour moitié à chacun d'entre eux (splitting) est l'élément marquant du nouveau système de calcul des rentes (art. 29quinquies al. 3 à 5 LAVS). Mais l'interdépendance des rentes individuelles est mise en évidence par les effets du plafonnement des rentes (art. 35 LAVS), le législateur ayant posé ici une limite à une pleine individualisation des rentes accordées aux conjoints, en lieu et place de la rente pour couple de l'ancien droit (ATF 130 V 505 consid. 2.7). c. Selon les Directives de l’OFAS concernant les rentes (DR) de l’assurance vieillesse, survivants et invalidité fédérale valables dès le 1er janvier 2003, il n’y a pas lieu de plafonner les deux rentes individuelles d’un couple ne vivant plus en ménage commun suite à une décision judiciaire, mais dont le divorce n’a pas encore été prononcé (art. 35 al. 2, LAVS; ch. 5510).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(ch. 5511).</w:t>
      </w:r>
    </w:p>
    <w:p>
      <w:r>
        <w:rPr>
          <w:b/>
        </w:rPr>
        <w:t>E. 5</w:t>
      </w:r>
    </w:p>
    <w:p>
      <w:r>
        <w:t>En l’occurrence, il n’est pas contesté que les ex-époux n’ont jamais été séparés par une décision judiciaire avant le prononcé du divorce et que, pendant la période litigieuse d'août 2012 à octobre 2014, ils ont continué à faire ménage commun. Par conséquent, au vu de la loi, des directives et de la jurisprudence en la matière, la somme des deux rentes pour le couple s’élève au plus à 150 % du montant maximal de la rente de vieillesse. Partant, l’intimée était fondée à plafonner la rente de vieillesse du recourant à partir du moment où son épouse bénéficiait d’une rente d’invalidité, en août 2012, et de demander la restitution du trop-perçu.</w:t>
      </w:r>
    </w:p>
    <w:p>
      <w:r>
        <w:rPr>
          <w:b/>
        </w:rPr>
        <w:t>E. 6</w:t>
      </w:r>
    </w:p>
    <w:p>
      <w:r>
        <w:t>Selon le ch. 5516 DR, les rentes déplafonnées doivent être versées pour la première fois dès le mois qui suit le divorce, le décès d’un des conjoints ou la diminution, voire la suppression de l’invalidité. En l’occurrence, le jugement de divorce est entré en force le 1er décembre 2015. Par conséquent, c’est à partir de janvier 2016 que le recourant a droit à une rente déplafonnée pour la première fois, conformément à la décision querellée.</w:t>
      </w:r>
    </w:p>
    <w:p>
      <w:r>
        <w:t>A/1086/2016 - 5/7 -</w:t>
      </w:r>
    </w:p>
    <w:p>
      <w:r>
        <w:rPr>
          <w:b/>
        </w:rPr>
        <w:t>E. 7</w:t>
      </w:r>
    </w:p>
    <w:p>
      <w:r>
        <w:t>Reste à examiner si l'intimée était en droit de compenser sa créance en restitution du trop-perçu avec l'arriéré de la rente d'invalidité due à son ex-épouse. Selon la doctrine et la jurisprudence, la compensation de créances réciproques constitue un principe juridique général, ancré en droit privé aux art. 120 ss du code des obligations (CO). En droit des assurances sociales plus particulièrement, certaines lois spéciales règlent la compensation des créances (par exemple les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La compensation n’est possible que lorsque deux obligations de la même espèce existent réciproquement entre deux personnes, et que la dette avec laquelle le créancier entend exercer la compensation est exigible et fondée en droit. Si, au cours du procès, le débiteur conteste l’existence de la créance, il appartient au créancier qui entend exercer la compensation de la prouver (ATFA non publié du 29 décembre 2000, B 20/00). En cas de cession, le débiteur peut opposer au cessionnaire, comme il aurait pu les opposer au cédant, les exceptions qui lui appartenaient en propres au moment où il en a connaissance (art. 169 CO). Par exceptions on entend les contestations qui touchent tant à l’existence même de la créance qu’au droit d’en exiger le règlement (ATF 128 V 224 consid. 3b).</w:t>
      </w:r>
    </w:p>
    <w:p>
      <w:r>
        <w:rPr>
          <w:b/>
        </w:rPr>
        <w:t>E. 8</w:t>
      </w:r>
    </w:p>
    <w:p>
      <w:r>
        <w:t>a. La directive sur les rentes de l'Office Fédéral des Assurances Sociales (OFAS), chiffre 10908, précise que la compensation de prestations revenant à des époux est possible s'il existe un lien étroit, sous l'angle des assurances sociales, entre les prestations revenant à chacun des époux, par exemple lorsque: i. suite à la réalisation de deuxième risque assuré, la rente du premier conjoint doit être diminuée en raison du plafonnement; ii. les deux rentes des conjoints doivent être à nouveau plafonnées en raison d'une modification des bases de calcul; iii. la rente complémentaire déjà versée au conjoint invalide doit être restituée en raison de l'octroi rétroactif d'une rente AI à son conjoint. b. Le Tribunal fédéral indique que le principe de la répartition des revenus des époux et de leur attribution pour moitié à chacun d'entre eux est l'élément marquant du nouveau système de calcul des rentes introduit par la dixième révision de l'AVS. Ce principe - essentiel - est clairement exprimé à l'art. 29quinquies al. 3, première phrase, LAVS. Le partage des revenus doit intervenir de la même manière quand les époux sont mariés ou quand un mariage a été dissous par le décès d'un conjoint ou par le divorce. La réglementation figurant sous let. a-c de l'art. 29quinquies al. 3 LAVS énumère les événements (les deux conjoints ont droit à une rente; une personne veuve a droit à une rente de vieillesse; le divorce) propres à déclencher la</w:t>
      </w:r>
    </w:p>
    <w:p>
      <w:r>
        <w:t>A/1086/2016 - 6/7 - mise en œuvre du « splitting » (Mario Christoffel, Conditions du splitting des revenus, en particulier en cas de divorce, Sécurité sociale 1996/5, p. 238). Par exemple, en cas de divorce (let. c), la répartition des revenus a lieu immédiatement après le divorce, tandis que dans le cas de conjoints (let. a), elle intervient lors de l'accomplissement par le deuxième conjoint du cas d'assurance (arrêt non publié L. du 25 septembre 2000, H 79/00; arrêt du 8 septembre 2004, I 24/04). Le Tribunal fédéral précise qu'il convient aussi de tenir compte des revenus réalisés par les conjoints lorsqu'ils étaient séparés et ce jusqu'à l'année du divorce (arrêt du 8 septembre 2004, I 24/4, cons.4). c. Dans un arrêt du 13 octobre 2004 (ATF 130 V 505), le Tribunal fédéral a admis la légalité de la directive 10908 précitée. Il précise que la compensation en droit public, donc en droit des assurances sociales, est subordonnée à la condition que deux personnes soient, réciproquement, créancières et débitrices l'une de l'autre, selon l'art. 120 CO, sauf si les créances à compenser sont en étroite relation, du point de vue de la technique d'assurance ou du point de vue juridique. Une telle relation étroite a été admise par la jurisprudence entre les cotisations personnelles du père décédé et la rente d'orphelin de père; entre les cotisations personnelles du mari décédé et la rente revenant à sa veuve; entre une créance de cotisation à l'encontre d'un débiteur décédé et les rentes de survivants, même s'ils ont répudié la succession; entre les cotisations personnelles de l'ex-mari et la rente de veuve de l'épouse divorcée (ATFA 1956, p.190; 1969, p. 93; 1969, p. 95; 1956, p. 190; ATF 115 V 341). Quand les deux créances opposées en compensation portent sur des prestations, la jurisprudence a admis la compensation entre les rentes de vieillesse entre époux (ATFA 1969, p. 211), mais a refusé la compensation entre une rente pour enfant versée par erreur au père avec une rente d'invalidité à laquelle l'enfant peut prétendre ultérieurement (arrêt du 6 juin 1988, I 121/87); entre une rente de veuve touchée indûment et une rente d'orphelin revenant à l'enfant recueilli (ATFA 1956 p. 60), faute de connexité juridique suffisante (ATF 130 V 510-512, cons. 2.4).</w:t>
      </w:r>
    </w:p>
    <w:p>
      <w:r>
        <w:rPr>
          <w:b/>
        </w:rPr>
        <w:t>E. 9</w:t>
      </w:r>
    </w:p>
    <w:p>
      <w:r>
        <w:t>En l'espèce, au vu de la jurisprudence en la matière, il ne fait pas de doute qu'il y a un lien étroit entre la créance en restitution de l'intimée, résultant d'un trop-perçu par le recourant suite au plafonnement des rentes, et le droit de l'épouse du recourant à une rente d'invalidité. Partant, l’intimée était en droit de compenser le trop-perçu avec l’arriéré de rente dû à cette dernière.</w:t>
      </w:r>
    </w:p>
    <w:p>
      <w:r>
        <w:rPr>
          <w:b/>
        </w:rPr>
        <w:t>E. 10</w:t>
      </w:r>
    </w:p>
    <w:p>
      <w:r>
        <w:t>Au vu de ce qui précède, le recours sera rejeté.</w:t>
      </w:r>
    </w:p>
    <w:p>
      <w:r>
        <w:rPr>
          <w:b/>
        </w:rPr>
        <w:t>E. 11</w:t>
      </w:r>
    </w:p>
    <w:p>
      <w:r>
        <w:t>La procédure est gratuite.</w:t>
      </w:r>
    </w:p>
    <w:p>
      <w:r>
        <w:t>***</w:t>
      </w:r>
    </w:p>
    <w:p>
      <w:r>
        <w:t>A/1086/2016 - 7/7 -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