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ATAS/667/2009 vom 28. Mai 2009</w:t>
      </w:r>
    </w:p>
    <w:p>
      <w:r>
        <w:t>GE Cour de justice, 2009-05-28, FR</w:t>
      </w:r>
    </w:p>
    <w:p>
      <w:r>
        <w:rPr>
          <w:b/>
        </w:rPr>
        <w:t xml:space="preserve">Quelle: </w:t>
      </w:r>
      <w:r>
        <w:t>https://mcp.opencaselaw.ch/entscheid/ge_gerichte_ATAS_667_2009</w:t>
      </w:r>
    </w:p>
    <w:p>
      <w:r>
        <w:t>FR: GE_GERICHTE ATAS/667/2009 du 28 mai 2009</w:t>
      </w:r>
    </w:p>
    <w:p>
      <w:r>
        <w:t>IT: GE_GERICHTE ATAS/667/2009 del 28 maggio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La compétence du Tribunal de céans pour juger du cas d'espèce est ainsi établie.</w:t>
      </w:r>
    </w:p>
    <w:p>
      <w:r>
        <w:rPr>
          <w:b/>
        </w:rPr>
        <w:t>E. 2</w:t>
      </w:r>
    </w:p>
    <w:p>
      <w:r>
        <w:t>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consid. 1; ATF 127 V 467,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Est litigieuse en l’espèce la question de savoir si le recourant peut prétendre une rente de l’assurance-invalidité, singulièrement celle de savoir quel est son degré d’invalidité éventuel et si, cas échéant, il peut se voir octroyer des mesures d’ordre professionnel.</w:t>
      </w:r>
    </w:p>
    <w:p>
      <w:r>
        <w:rPr>
          <w:b/>
        </w:rPr>
        <w:t>E. 5</w:t>
      </w:r>
    </w:p>
    <w:p>
      <w:r>
        <w:t>a)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w:t>
      </w:r>
    </w:p>
    <w:p>
      <w:r>
        <w:t>A/4516/2007 - 16/24 - résulte d'une atteinte à la santé physique ou mentale et qu'elle persiste après les traitements et les mesures de réadaptation exigibles (art. 7 LPGA).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b) Pour pouvoir calculer le degré d'invalidité, l'administration (ou le juge, s'il y a eu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soit claire et enfin que les conclusions de l’expert soient bien motivées (ATF 122 V 160 consid. 1c et les références). L’élément déterminant pour la valeur probante n’est en principe ni l’origine du moyen de preuve, ni sa désignation, sous la forme d’un rapport ou d’une expertise, mais bel et bien son contenu (ATF 122 V 160 consid. 1c; Omlin, Die Invaliditätsbemessung in der obligatorischen Unfallversicherung p. 297ss.; Morger, Unfallmedizinische Begutachtung in der SUVA, in Revue Suisse des assurances sociales [RSAS] 32/1988 p. 332ss.). d)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(ATFA du 14 avril 2003, en la cause I 39/03, consid. 3.2, ATF 124 I 175 consid. 4 et les références citées; Plaidoyer 6/94 p. 67). Il n’a pas, d’emblée, de raison de mettre en doute la capacité alléguée par son patient, surtout dans une situation d’évaluation difficile. En principe, il fait donc confiance à son patient, ce qui est souhaitable, et ne fait donc pas toujours preuve</w:t>
      </w:r>
    </w:p>
    <w:p>
      <w:r>
        <w:t>A/4516/2007 - 17/24 -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(RCC 1988 p. 504). La règle est d’ailleurs qu’il se récuse pour l’expertise de ses propres patients (VSI 2001, 109 consid. 3b/cc;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e)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6</w:t>
      </w:r>
    </w:p>
    <w:p>
      <w:r>
        <w:t>Le recourant fait grief à l’intimé de l’avoir considéré comme capable d’exercer à plein temps une activité adaptée, en dépit des conclusions des experts M________- J_________ et K_________, dont il reproche à l’intimé de s’être écarté sans indiquer pour quelles raisons et alors même que Monsieur U________ et le Dr L_________ ont émis l’avis, près de deux ans après l'expertise psychiatrique du Dr K_________, qu’il était atteint dans sa santé de manière à entraver sérieusement sa capacité de travail. Il est vrai que dans son rapport du 20 juin 2004, la Dresse M________, a conclu à une capacité de travail de 50%, équivalent soit à 4 heures par jour ou à 6 heures par jour avec un rendement diminué. Cependant, force est de constater que ces conclusions sont en contradiction avec le reste du rapport. En effet, si l’expert a exclu l’activité de maçon en raison des lombalgies et celle de chauffeur de taxi en raison des cervicalgies, il concluait aussi qu’une activité légère, n’impliquant ni port de charges ni position statique prolongée de la tête ou mouvements brusques ou répétés de la tête était envisageable avec une diminution de rendement 20% en raison des vertiges, dont il a estimé qu’ils pouvaient ralentir l’assuré dans certaines activités professionnelles. On ne comprend dès lors pas pourquoi cette diminution de rendement de 20% a ensuite abouti à une diminution de la capacité de travail de 50%. C’est par conséquent à juste titre que l’intimé s’est écarté du rapport de la</w:t>
      </w:r>
    </w:p>
    <w:p>
      <w:r>
        <w:t>A/4516/2007 - 18/24 - Dresse M________, qui ne peut se voir accorder pleine valeur probante dans ces conditions, d’autant que même la diminution de rendement dont on comprend qu’elle est motivée principalement par les vertiges - lesquels ne relèvent au demeurant pas de la spécialité du Dr M________ a sérieusement été mise en doute par plusieurs autres médecins, experts ou spécialiste ORL (cf. rapport du Dr D_________ du 20 juin 2001, rapport du Dr H_________ du 10 décembre 2001, rapport du Prof. G_________ du 8 octobre 2004). La Dresse M________- J_________, entendue par le Tribunal de céans, a d’ailleurs admis que les professions de magasinier, concierge ou encore surveillant de chaînes de production, évoquées par le Dr H_________, étaient effectivement envisageables dans le mesure où elles respectaient les limitations fonctionnelles de l’assuré et lui permettaient d’une part, d’éviter la position statique penchée en avant, les mouvements de tête répétitifs et le port de charges et, d’autre part, d’alterner les positions. S’agissant plus particulièrement des vertiges, le Prof. G_________, spécialiste en la matière, a expliqué clairement en quoi ils consistaient et même s’il a admis qu’une telle atteinte - qualifiée par ailleurs de parfaitement bénigne - peut générer chez bon nombre de patients de fortes craintes qui peuvent persister même après guérison, il n’en demeure pas moins qu’il a très clairement indiqué que les vertiges ne justifiaient aucune incapacité de travail, pas même dans la profession de chauffeur de taxi et que l’assuré avait du reste reconnu que son arrêt de travail résultait plutôt de l’ensemble de ses divers problèmes et de la crainte importante d’avoir un accident, crainte qui n’avait pas lieu d’être. Du point de vue somatique, il ressort des différents rapports que les dorsalgies et cervicalgies, si elles entraînent certes des limitations, ne conduisent à aucune incapacité de travail. Ainsi, le Dr H_________, notamment, chargé d’une expertise par ELVIA ASSURANCES, a conclu en 2001 à une totale capacité de travail, expliquant que le patient ne décrivait pas de limitation en regard de ses lombalgies chroniques et que les cervicalgies ne trouvaient quant à elles pas d’explications claire, les troubles statiques étant fort discrets. Cet avis était partagé par le Dr D_________. En définitive, les problèmes somatiques, s’ils conduisent certes à retenir un certain nombre de limitations fonctionnelles, n’entraînent pas de réduction de la capacité de travail. En réalité, à l’instar du Prof. G_________, qui a suggéré que les problèmes du recourant seraient peut-être la conséquence d’un désordre d’ordre psychologique plutôt que physique, il y a lieu de se demander si le principal problème ne serait pas d’ordre psychique.</w:t>
      </w:r>
    </w:p>
    <w:p>
      <w:r>
        <w:t>A/4516/2007 - 19/24 - Cependant, le Dr I_________, en mai 2003, n’a retenu qu’un épisode dépressif léger, dont il précisait qu’il était sans répercussion sur la capacité de travail de son patient. Le Dr K_________, quant à lui, a également conclu à une dépression légère en janvier 2006. Le recourant lui reproche d’avoir ignoré qu’il était suivi par le Dr I_________ au motif que l’expert a retenu que, jusqu’en 2002, rien n’indiquait que l’assuré avait souffert de troubles psychologiques particuliers. Ce grief apparaît cependant totalement dénué de fondement dans la mesure où le Dr K_________ a expressément mentionné le fait que l’assuré avait consulté le Dr I_________ et a relevé qu’en 2003, ce dernier n’avait conclu qu’à un trouble mineur, sans répercussion sur la capacité de travail de l’intéressé. Certes, le Dr K_________ mentionne que les scores des échelles de Beck ont conclu à une dépression sévère. Mais il a également expliqué pourquoi il ne leur a finalement attribué que peu d’importance : d’une part, il s’agit ces tests sont rédigés en français - de sorte que l’assuré, qui maîtrise mal la langue, a dû se faire aider - et, d’autre part, ces échelles sont basées sur une auto-évaluation. Or, tous les sous- facteurs conduisaient à des scores maximaux, ce qui démontrait une tendance à la dramatisation. On peut relever au passage que le même phénomène s’est produit avec le Prof. G_________, lors des tests d’audiométrie. Les conclusions du Dr K_________, qui se basent en définitive sur l’examen clinique et le résultat de l’échelle de Hamilton, apparaissent donc tout à fait convaincantes. Finalement, sur le plan psychique, le Dr K_________ n’a retenu qu’un trouble de l’adaptation avec humeur anxio-dépressive de gravité légère et une personnalité à traits narcissiques, justifiant une diminution de rendement de l’ordre de 20% tout au plus dans une activité médico-théorique adaptée à temps complet. Il y a lieu d’ajouter, pour conclure, qu’au vu de la divergence consacrée par la jurisprudence entre un mandat de soins et un mandat d’expertise (cf. arrêt du Tribunal fédéral du 5 janvier 2003, I 701/05, consid. 2 et les références, en particulier l’ATF 124 I 170 consid. 4), on ne saurait remettre en cause une expertise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Tel n’est pas le cas en l’occurrence. Certes, Monsieur U_________ et le Dr L_________ ont déclaré que l’état de santé de l’assuré s’est aggravé au fil du temps en ce sens que la dépression légère a tourné à la mélancolie et que les symptômes qui étaient latents sont devenus manifestes. Ces allégations ne permettent cependant pas de se convaincre qu’au moment de la décision litigieuse, l’état psychique de l’assuré, qui avait été déclaré sans gravité tant par le Dr I_________ que par le Dr K_________, se serait subitement aggravé. Monsieur</w:t>
      </w:r>
    </w:p>
    <w:p>
      <w:r>
        <w:t>A/4516/2007 - 20/24 - U_________, dans son rapport du mois d’août 2006, se contentait de parler de « souffrance somatique » et de syndrome somatoforme douloureux. Par ailleurs, il semblait motiver l’incapacité de travail à laquelle il concluait avant tout par les vertiges, les douleurs cervicales, l’âge et le niveau socio-culturel de l’assuré. Il indiquait certes que les ressources psychiques du patient étaient diminué mais il convient de relever que s’il excluait l’éventualité de travailler comme chauffeur de taxi ou sur un chantier, il ne s’exprimait en revanche pas sur la capacité de travail de l’assuré dans une activité adaptée. Quant au Dr N________, il s’est déclaré convaincu que le patient, complètement usé, était désormais inapte à exercer le moindre travail physique, notamment celui de chauffeur de taxi. Ses déclarations sont cependant contradictoires dans la mesure où, après avoir affirmé qu’il était impossible à son patient de conserver la position assise plus de 10 à 15 minutes, il a précisé avoir constaté dans son cabinet, qu'au bout d'une demi-heure, l’assuré cherchait une position plus confortable. C’est donc que l’assuré doit pouvoir rester assis plus longtemps qu’il ne veut bien le dire. Eu égard à ces éléments, il apparaît que la diminution de rendement vraisemblable est celle retenue par le Dr K_________, lequel a expliqué avoir considéré comme équitable de conclure à une diminution de rendement de 20%. Dès lors, c’est à tort que l’intimé s’en est écarté au motif que cette diminution de rendement ne reposait pas sur une atteinte psychique invalidante, puisqu’un spécialiste en psychiatrie et psychothérapie mandaté par l’intimé lui-même a précisément conclu le contraire et a motivé son évaluation de manière convaincante. Il suit de ce qui précède qu’il convient de retenir comme exigible une capacité de travail à plein temps dans une activité adaptée aux limitations de l’assuré, avec une diminution de rendement de 20%.</w:t>
      </w:r>
    </w:p>
    <w:p>
      <w:r>
        <w:rPr>
          <w:b/>
        </w:rPr>
        <w:t>E. 7</w:t>
      </w:r>
    </w:p>
    <w:p>
      <w:r>
        <w:t>Il convient à présent de se prononcer sur le calcul du taux d'invalidité. a) L'entrée en vigueur de la 4ème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égal ou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4ème révision de la LAI (ATF 130 V 348 consid. 3.4; ATFA non publiés du 17 mai 2005, I 7/05, consid. 2, du 6 septembre 2004, I 249/04, consid. 4). Chez les assurés actifs, le degré d'invalidité doit être évalué sur la base d'une comparaison des revenus. Pour cela, le revenu que l'assuré aurait pu obtenir s'il</w:t>
      </w:r>
    </w:p>
    <w:p>
      <w:r>
        <w:t>A/4516/2007 - 21/24 -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 déterminant si elle avait été en bonne santé (ATF 129 V 224 consid. 4.3.1 et la référence). Il doit être évalué de manière aussi concrète que possible si bien qu'il convient, en règle générale, de se référer au dernier salaire que l'assuré a obtenu avant l'atteinte à la santé. b) En l’espèce, le revenu avant invalidité, fixé à 52'725 fr. en 2000, n’est pas contesté. Il n’y a dès lors pas lieu de s’en écarter. Quant au revenu avec invalidité, en l’absence de reprise d’activité du recourant, il convient de se référer aux salaires statistiques tels qu’ils découlent de l’enquête suisse sur la structure des salaires éditée par l’Office fédéral de la statistique (ESS). Il ressort de l’instruction du dossier que le recourant peut exercer une activité légère à plein temps à condition de respecter les limitations énoncées plus haut. Au regard du large éventail d'activités simples et répétitives offertes par les secteurs de la production et des services, on doit convenir qu'un marché du travail équilibré offre</w:t>
      </w:r>
    </w:p>
    <w:p>
      <w:r>
        <w:t>A/4516/2007 - 22/24 - un nombre significatif de postes de travail légers pouvant être occupés sans difficulté particulière par une personne souffrant des douleurs lombaires. Selon les données de l'ESS 2000, le revenu mensuel standardisé d'un homme exerçant une activité simple et répétitive s'élevait, tous domaines confondus, à 4'437 fr. par mois (valeur médiane). Ce montant correspond, pour un horaire de travail moyen de 41,8 heures (cf. ATF 126 V 81 consid. 7a) à un salaire annuel brut, en 2000, de 55’640 fr. à plein temps et de 44'512 fr. en tenant compte de la diminution de rendement de 20% retenue par le Dr K_________. Si l’on applique au surplus une réduction supplémentaire de 15% comme l’a fait l’intimé (pour tenir compte de l’âge de l’assuré et du fait que son taux d’activité ne sera plus que partiel), on obtient un revenu d’invalide de 37'835 fr., qui, comparé au salaire avant invalidité, conduit à un degré d’invalidité de 28.24%.</w:t>
      </w:r>
    </w:p>
    <w:p>
      <w:r>
        <w:rPr>
          <w:b/>
        </w:rPr>
        <w:t>E. 8</w:t>
      </w:r>
    </w:p>
    <w:p>
      <w:r>
        <w:t>a) Selon l'art. 17 LAI, l'assuré a droit au reclassement dans une nouvelle profession si son invalidité rend cette mesure nécessaire et que sa capacité de gain peut ainsi, selon toute vraisemblance, être sauvegardée ou améliorée (al. 1). L'étendue des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(ATF 124 V 110 consid. 2a; VSI 1997 p. 85 consid 1). Le droit au reclassement suppose que l'assuré soit invalide ou menacé d'une invalidité imminente (art. 8 al. 1 première phrase LAI). Le seuil minimum fixé par la jurisprudence pour ouvrir droit à une mesure de reclassement est une diminution de la capacité de gain de 20% environ (ATF 124 V 110 consid. 2b et les références). b) En l'espèce, force est de constater que le recourant remplit donc l’une des conditions mises à l'octroi d'un reclassement. L’instruction permet cependant de douter de la nécessité d’un changement de profession, les doutes émis par certains médecins non spécialisés quant à la capacité de l’intéressé de continuer à exercer sa profession de chauffeur de taxi ayant été définitivement et de manière convaincante levés par le Dr G_________. Qui plus est, les autres professions adaptées évoquées, notamment par les Drs H_________ et D_________, soit la conciergerie, la petite manutention ou la surveillance de chaînes de production, ne nécessitent pas non plus de formation particulière. En conséquence, en l’espèce, un reclassement ne se justifie pas. En revanche, une aide au placement pourra être accordée à l’assuré s’il en fait la demande motivée.</w:t>
      </w:r>
    </w:p>
    <w:p>
      <w:r>
        <w:rPr>
          <w:b/>
        </w:rPr>
        <w:t>E. 9</w:t>
      </w:r>
    </w:p>
    <w:p>
      <w:r>
        <w:t>Eu égard aux considérations qui précèdent, le recours est très partiellement admis en ce sens que le droit à une aide au placement est reconnu au recourant.</w:t>
      </w:r>
    </w:p>
    <w:p>
      <w:r>
        <w:t>A/4516/2007 - 23/24 -</w:t>
      </w:r>
    </w:p>
    <w:p>
      <w:r>
        <w:t>A/4516/2007 - 24/24 -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