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ATAS/666/2024 vom 2. September 2024</w:t>
      </w:r>
    </w:p>
    <w:p>
      <w:r>
        <w:t>GE Cour de justice, 2024-09-02, FR</w:t>
      </w:r>
    </w:p>
    <w:p>
      <w:r>
        <w:rPr>
          <w:b/>
        </w:rPr>
        <w:t xml:space="preserve">Quelle: </w:t>
      </w:r>
      <w:r>
        <w:t>https://mcp.opencaselaw.ch/entscheid/ge_gerichte_ATAS_666_2024</w:t>
      </w:r>
    </w:p>
    <w:p>
      <w:r>
        <w:t>FR: GE_GERICHTE ATAS/666/2024 du 2 septembre 2024</w:t>
      </w:r>
    </w:p>
    <w:p>
      <w:r>
        <w:t>IT: GE_GERICHTE ATAS/666/2024 del 2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suspension de 9 jours du droit à l'indemnité de la recourante.</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w:t>
      </w:r>
    </w:p>
    <w:p>
      <w:r>
        <w:t>A/1659/2024 - 5/11 - Selon l’art. 20a OACI, l’office compétent mène un premier entretien de conseil et de contrôle avec l’assuré dans les 15 jours qui suivent la date d’inscription ([art. 19 al. 3] - al. 1) ; l’identité de l’assuré est vérifiée lors de l’entretien (al. 2) ; l’assuré fournit lors de l’entretien toutes les informations exigées par l’office compétent, notamment la preuve de ses recherches d’emploi (al. 3). Selon l’art. 26 OACI, l’assuré doit cibler ses recherches d’emploi, en règle générale selon les méthodes de postulation ordinaires (al. 1) ;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 l’office compétent contrôle chaque mois les recherches d’emploi de l’assuré (al. 3). Selon le Bulletin LACI IC, ch. B316, l'autorité compétente dispose d'une certaine marge d'appréciation pour juger si les recherches d'emploi sont suffisantes quantitativement et qualitativement. Elle doit tenir compte de toutes les circonstances du cas particulier.</w:t>
      </w:r>
    </w:p>
    <w:p>
      <w:r>
        <w:rPr>
          <w:b/>
        </w:rPr>
        <w:t>E. 3.2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 8C_800/2008 du 8 avril 2009). En particulier, l'obligation de chercher du travail ne cesse que lorsque l'entrée en service auprès d'un autre employeur est certaine (arrêt du Tribunal fédéral 8C_271/2008 du 25 septembre 2008). L'élément essentiel pour déterminer la période à prendre en considération lors de l'examen de recherches d'emploi est le moment où la personne a connaissance du fait qu'elle est objectivement menacée de chômage (cf. Bulletin LACI IC, ch. B314).</w:t>
      </w:r>
    </w:p>
    <w:p>
      <w:r>
        <w:rPr>
          <w:b/>
        </w:rPr>
        <w:t>E. 3.3</w:t>
      </w:r>
    </w:p>
    <w:p>
      <w:r>
        <w:t>Compte tenu de la jurisprudence ainsi que des informations données par le site internet de l'intimé de manière facilement accessible (https://www.ge.ch/inscrire- au-chomage), un nombre de huit RPE par mois est exigible de la part des assurés</w:t>
      </w:r>
    </w:p>
    <w:p>
      <w:r>
        <w:t>A/1659/2024 - 6/11 - avant leur inscription à l'assurance-chômage (cf. à ce sujet notamment ATAS/45/2022 du 24 janvier 2022 consid. 8.2).</w:t>
      </w:r>
    </w:p>
    <w:p>
      <w:r>
        <w:rPr>
          <w:b/>
        </w:rPr>
        <w:t>E. 3.4.1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w:t>
      </w:r>
    </w:p>
    <w:p>
      <w:r>
        <w:rPr>
          <w:b/>
        </w:rPr>
        <w:t>E. 3.4.2</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w:t>
      </w:r>
    </w:p>
    <w:p>
      <w:r>
        <w:t>A/1659/2024 - 7/11 -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deux mois ou plus et que sur l'ensemble de cette période, l'assuré n'a pas fait des recherches d'emploi quantitativement et/ou qualitativement suffisantes, la sanction est comprise entre 6 et 8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(ATF 139 V 524 consid. 4.2 ; arrêt du Tribunal fédéral 8C_708/2019 du 10 janvier 2020 consid. 4.1 et 6.2 ; aussi 8C_750/2021 du 20 mai 2022 consid. 4.2 et 4.3).</w:t>
      </w:r>
    </w:p>
    <w:p>
      <w:r>
        <w:rPr>
          <w:b/>
        </w:rPr>
        <w:t>E. 3.5</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w:t>
      </w:r>
    </w:p>
    <w:p>
      <w:r>
        <w:t>A/1659/2024 - 8/11 -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w:t>
      </w:r>
    </w:p>
    <w:p>
      <w:r>
        <w:rPr>
          <w:b/>
        </w:rPr>
        <w:t>E. 3.6</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4</w:t>
      </w:r>
    </w:p>
    <w:p>
      <w:r>
        <w:t>En l'occurrence, l'intimé a considéré que durant son délai de congé de trois mois, la recourante avait effectué un nombre de RPE suffisant pour les mois de novembre et décembre 2023 mais n'avait effectué que neuf RPE en janvier 2024 au lieu des dix requises selon le contrat d'objectifs, de sorte qu'elle avait failli à son obligation de rechercher soigneusement un emploi avant le début du chômage. Quant à la recourante, elle a invoqué sa bonne foi concernant le nombre de RPE à effectuer durant le délai de congé, étant persuadée qu'il était de huit. Elle fait aussi valoir qu'elle a effectué plus de RPE qu'exigées durant les mois de novembre et décembre 2023 et que, dû à sa diligence, elle a retrouvé un emploi très rapidement, à partir du 1er mars 2024.</w:t>
      </w:r>
    </w:p>
    <w:p>
      <w:r>
        <w:rPr>
          <w:b/>
        </w:rPr>
        <w:t>E. 4.1</w:t>
      </w:r>
    </w:p>
    <w:p>
      <w:r>
        <w:t>Il est admis que la recourante a effectué un nombre suffisant de RPE en novembre et décembre 2023, soit respectivement douze et onze RPE. S'agissant du mois de janvier 2024, il convient préalablement de déterminer combien de RPE la recourante était tenue d’effectuer pendant son délai de congé. La recourante a expliqué qu’elle avait consulté le site internet de l’intimé, lequel indiquait qu’elle était tenue d’effectuer au minimum huit RPE par mois avant son droit au chômage. Le contrat d’objectifs du 10 novembre 2023 prévoyant un nombre de dix RPE par mois ne pouvait, selon sa compréhension, s’appliquer que dès son droit au chômage le 1er février 2024, ce d’autant qu’elle l’avait reçu bien antérieurement au 1er février 2024 en raison de sa diligence à s’inscrire</w:t>
      </w:r>
    </w:p>
    <w:p>
      <w:r>
        <w:t>A/1659/2024 - 9/11 - rapidement auprès de l’intimé (soit le 30 octobre 2023). Entendue en audience le 26 août 2024, la recourante a déclaré que lors de l’entretien de conseil du 10 novembre 2023, elle avait compris que durant son délai de congé elle ne devait effectuer que huit RPE par mois, en précisant que cela aurait été de toute façon le cas si elle s’était inscrite à l’échéance de son contrat de travail, comme elle en avait la possibilité. Les explications données par la recourante sont convaincantes. Compte tenu du devoir de conseil (art. 27 al. 2 LPGA) qui incombe à l’intimé, si celui-ci estimait qu’un contrat d’objectifs conclu antérieurement à l’inscription de la recourante - en raison de la diligence de celle-ci à entamer le plus rapidement possible les démarches auprès de l’assurance-chômage - doit primer sur les informations ressortant de son site internet, il se devait de l’exprimer de façon non ambiguë à la recourante. Or, tel n’a pas été le cas. La mention succincte au procès-verbal de l’entretien de conseil du 10 novembre 2023, s’agissant des RPE avant chômage, de « 10 par mois dès novembre via Poste ou JR » ne permet pas d’amener la preuve que le conseiller a clairement informé la recourante que dès la remise du contrat d’objectifs l’obligation d’effectuer dix RPE prenait le pas sur celle annoncée aux assurés par le biais du site internet de l’intimé d’en effectuer au minimum huit. Il ressort plutôt des termes du contrat d’objectifs que celui-ci s’applique dès la date de placement (en l’occurrence le 1er février 2024) dès lors qu’il fait référence à l’obligation des assurés de remettre les formulaires de RPE au plus tard le 5 du mois suivant, en précisant que les formulaires tardifs ne seront pas pris en considération, obligation qui s’applique aux assurés dès la date de placement, alors que, s’agissant des RPE avant chômage, elles sont prises en considération sans exigence de remise du formulaire au plus tard le 5 du mois suivant, puisqu’elles peuvent être communiquées dans leur ensemble, lors du premier entretien de conseil (art. 20a OACI). Par ailleurs, le plan d’actions remis le même jour que le contrat d’objectifs spécifie les démarches qui doivent être effectuées le plus rapidement possible, sans mention des dix RPE mensuelles. En outre, la recourante a expliqué que si elle avait compris les exigences de l’intimé, elle s’y serait conformée pour le mois de janvier 2024, ce d’autant qu’il ne lui manquait qu’une seule RPE pour atteindre le nombre de dix et qu’elle avait finalement effectué un nombre de RPE plus important que celui du contrat d’objectifs en novembre et décembre 2023, ce qui est un élément en faveur de sa bonne foi. Au vu de ce qui précède, il convient d’admettre que la recourante pouvait, de bonne foi, considérer que huit RPE et non pas dix étaient exigées durant son délai de congé.</w:t>
      </w:r>
    </w:p>
    <w:p>
      <w:r>
        <w:t>A/1659/2024 - 10/11 - Au surplus, il convient de souligner que ce n'est pas seulement la quantité, mais également la qualité des démarches entreprises qui doit être prise en compte. Le fait que, selon le procès-verbal d'entretien du 10 novembre 2023, la recourante avait déjà obtenu à ce moment-là deux entretiens d'embauche et qu'elle n'a bénéficié du chômage qu'un seul mois avant de commencer un nouvel emploi, est à même de démontrer la qualité de ses candidatures et de ses efforts fournis pour trouver du travail.</w:t>
      </w:r>
    </w:p>
    <w:p>
      <w:r>
        <w:rPr>
          <w:b/>
        </w:rPr>
        <w:t>E. 4.2</w:t>
      </w:r>
    </w:p>
    <w:p>
      <w:r>
        <w:t>Au vu de ce qui précède, le nombre de RPE effectué par la recourante pendant son délai de congé est suffisant. Partant, la sanction litigieuse n'est pas justifiée.</w:t>
      </w:r>
    </w:p>
    <w:p>
      <w:r>
        <w:rPr>
          <w:b/>
        </w:rPr>
        <w:t>E. 5</w:t>
      </w:r>
    </w:p>
    <w:p>
      <w:r>
        <w:t>Le recours sera admis et la décision litigieuse annulée.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la procédure est gratuite (art. 61 let. a LPGA).</w:t>
      </w:r>
    </w:p>
    <w:p>
      <w:r>
        <w:t>A/1659/2024 - 11/11 -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