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ATAS/666/2018 vom 27. Juli 2018</w:t>
      </w:r>
    </w:p>
    <w:p>
      <w:r>
        <w:t>GE Cour de justice, 2018-07-27, FR</w:t>
      </w:r>
    </w:p>
    <w:p>
      <w:r>
        <w:rPr>
          <w:b/>
        </w:rPr>
        <w:t xml:space="preserve">Quelle: </w:t>
      </w:r>
      <w:r>
        <w:t>https://mcp.opencaselaw.ch/entscheid/ge_gerichte_ATAS_666_2018</w:t>
      </w:r>
    </w:p>
    <w:p>
      <w:r>
        <w:t>FR: GE_GERICHTE ATAS/666/2018 du 27 juillet 2018</w:t>
      </w:r>
    </w:p>
    <w:p>
      <w:r>
        <w:t>IT: GE_GERICHTE ATAS/666/2018 del 27 luglio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 accidents relative à des prestations prévues par la LAA.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w:t>
      </w:r>
    </w:p>
    <w:p>
      <w:r>
        <w:t>A/121/2017 - 18/30 - Le recours a été déposé en temps utile, compte tenu de la suspension du délai de recours du 18 décembre au 2 janvier inclusivement (art. 38 al. 4 let. c et 60 LPGA). Il satisfait aux exigences de forme et de contenu prévues par la loi (art. 61 let. b LPGA ; cf. aussi art. 89B de la loi sur la procédure administrative, du 12 septembre 1985 - LPA - E 5 10). Touchée par ladite décision et ayant un intérêt digne de protection à son annulation ou sa modification, la recourante a qualité pour recourir (art. 59 LPGA). c. Le recours est donc recevable.</w:t>
      </w:r>
    </w:p>
    <w:p>
      <w:r>
        <w:rPr>
          <w:b/>
        </w:rPr>
        <w:t>E. 2</w:t>
      </w:r>
    </w:p>
    <w:p>
      <w:r>
        <w:t>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w:t>
      </w:r>
    </w:p>
    <w:p>
      <w:r>
        <w:t>A/121/2017 - 19/30 -</w:t>
      </w:r>
    </w:p>
    <w:p>
      <w:r>
        <w:rPr>
          <w:b/>
        </w:rPr>
        <w:t>E. 3</w:t>
      </w:r>
    </w:p>
    <w:p>
      <w:r>
        <w:t>a. Le litige concerne le degré d’invalidité et le taux de l’indemnité pour atteinte à l’intégrité découlant de l’accident du 30 novembre 2006, à savoir deux des prestations en espèces prévues par la LAA. b. Il n’est pas contesté que la recourante a subi, le 30 novembre 2006, un accident pour lequel l’intimée, étant alors son assureur-accidents, doit verser les prestations prévues par la LAA, pour toutes les conséquences dommageables qui se trouvent dans un rapport de causalité naturelle (ATF 119 V 335 consid. 1 ; ATF 118 V 286 consid. 1b et les références) et adéquate avec ledit événement assuré (ATF 125 V 456 consid. 5a et les références). Il n’est pas véritablement contesté et doit en tout état être souligné d’emblée que les conséquences ici pertinentes se limitent aux atteintes portées par l’accident précité au membre supérieur gauche de la recourante, soit à ses coude et poignet gauches (non compris une cure du tunnel carpien gauche). La perspective est donc différente de celle de l’AI, qui appréhende la situation de santé globale de ses assurés, en sorte que, en l’occurrence, la reconnaissance par l’OAI d’une invalidité de 90 % n’implique nullement qu’une semblable invalidité doive être admise à la charge de l’intimée, tant il est évident que l’OAI s’est prononcé dans le sens précité au regard de diagnostics nombreux ayant des répercussions sur la capacité de travail, dont un seul est également du ressort de l’intimée, à savoir, précisément, les atteintes au coude et au poignet gauches. Le dossier n’apporte aucun élément permettant de soutenir que les autres atteintes à la santé, physique et psychique, de la recourante relevées par les experts du CEMed – au demeurant sans répercussion sur la capacité de travail s’agissant des diagnostics d’ordre psychiatrique – seraient en lien de causalité avec l’accident du 30 novembre 2006. Dans la mesure où l’ensemble des atteintes à la santé n’en constituent pas moins une réalité que vit la recourante, la nécessité de faire abstraction de nombre d’entre elles conduit immanquablement à rendre l’approche des points pertinents quelque peu théorique, notamment l’estimation du revenu d’invalide de la recourante, soit de sa capacité de gain, au regard de ses seules atteintes précitées. c. Il apparaît utile, dans ce contexte, de résumer les faits pertinents, sur la base des explications, non contestées et au demeurant étayées par les pièces du dossier, que la Dre AA______ a données dans son appréciation du 2 mars 2017 sur les atteintes à la santé ici pertinentes. L’accident du 30 novembre 2006 a provoqué une fracture-impaction versant de la tête radiale, une fracture de la pointe coronoïdienne, un fragment ostéochondral intra-articulaire libre et la présence d’un corps cartilagineux intra-articulaire libre dans le récessus articulaire antérieur à gauche. Le 6 décembre 2006, l’assurée a subi une première opération, ayant consisté principalement en micro-fracture et chondroplastie au niveau du coude gauche. Au vu de la persistance d’une symptomatologie douloureuse et d’une suspicion d’instabilité au niveau du coude gauche, la recourante a subi deux autres interventions au niveau du coude gauche, avec reconstruction du ligament ulno-</w:t>
      </w:r>
    </w:p>
    <w:p>
      <w:r>
        <w:t>A/121/2017 - 20/30 - huméral gauche réalisée à l’aide d’une greffe tendineuse à partir du tendon du muscle long palmaire. La recourante a alors développé une allodynie au niveau du poignet gauche, à l’endroit de la prise de greffe, en raison d’un névrome de la branche cutanée palmaire du nerf médian. Il s’en est suivi trois opérations à ce niveau, la dernière en septembre 2014. d. Estimant la situation médicale de la recourante, au regard des atteintes ici pertinentes, stabilisée lorsque cette dernière a été examinée par le médecin-conseil de l’intimée, le 8 décembre 2014, il incombait à l’intimée de se déterminer sur l’existence d’une invalidité ouvrant le droit à une rente d’invalidité et sur celle d’une atteinte à l’intégrité ouvrant le droit à une indemnité pour atteinte à l’intégrité.</w:t>
      </w:r>
    </w:p>
    <w:p>
      <w:r>
        <w:rPr>
          <w:b/>
        </w:rPr>
        <w:t>E. 4</w:t>
      </w:r>
    </w:p>
    <w:p>
      <w:r>
        <w:t>a. Pour l’octroi de telles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w:t>
      </w:r>
    </w:p>
    <w:p>
      <w:r>
        <w:t>A/121/2017 - 21/30 -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w:t>
      </w:r>
    </w:p>
    <w:p>
      <w:r>
        <w:rPr>
          <w:b/>
        </w:rPr>
        <w:t>E. 5</w:t>
      </w:r>
    </w:p>
    <w:p>
      <w:r>
        <w:t>a. L’octroi d’une rente d’invalidité suppose une invalidité, à savoir – en matière d’assurance-accidents comme dans les autres domaines des assurances sociales – une incapacité de gain totale ou partielle qui est présumée permanente ou de longue durée (art. 8 al. 1 LPGA), d’au minimum 10 % dans l’assurance-accidents (art. 18 al. 1 LAA), alors qu’elle doit être d’au minimum 40 % dans l’assurance-invalidité (art. 28 al. 1 let. c de la loi fédérale sur l’assurance-invalidité du 19 juin 1959 - LAI - 831.20). Selon l’art. 7 LPGA, l’incapacité de gain est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de plus, qu’il n’y a incapacité de gain que si celle-ci n’est pas objectivement surmontable. Une atteinte à la santé seule ne suffit pas, quelle que soit sa gravité, à constituer une invalidité ; elle doit avoir pour conséquence une incapacité de gain. L’incapacité de gain ne se réfère pas à la profession exercée par l’assuré avant l’atteinte à la santé ; si l’assuré est devenu incapable d’exercer sa profession mais peut prendre une autre activité raisonnablement exigible, après le traitement et la réadaptation, l’évaluation de l’incapacité de travail est faite d’après cette activité exigible. Si la perte de gain est due à un manque de places de travail, et non à l’atteinte à la santé, il n’y a pas d’invalidité, dans la définition de laquelle d’autres facteurs extérieurs sont aussi écartés, comme l’âge, le manque de formation, les différences socioculturelles (Pierre-Yves GREBER, L’assurance-vieillesse, survivants et invalidité, in Droit suisse de la sécurité sociale, vol. I, éd. par Pierre-Yves GREBER / Bettina KAHIL-</w:t>
      </w:r>
    </w:p>
    <w:p>
      <w:r>
        <w:t>A/121/2017 - 22/30 - WOLFF / Ghislaine FRÉSARD-FELLAY / Romolo MOLO, 2010, p. 137 ss, n. 166).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de la différence entre le revenu dit d’invalide (ou avec invalidité) et le revenu sans invalidité, et ce au moment de l’ouverture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la description de postes de travail (DPT), recueillies par la SUVA et devant remplir des conditions posées par la jurisprudence (ATF 129 V 472 consid. 4.2 ; arrêt du Tribunal fédéral 8C_199/2017 du 6 février 2018 consid. 4.3 et 5.2 ; arrêt du Tribunal fédéral des assurances I.471/04 du 16 juin 2005 consid. 3.3 ; cf. arrêts du Tribunal fédéral 9C_843/2015 du 7 avril 2016 sur les statistiques spécifiques à la branche de l’informatique et des télécommunications, et 9C_474/2016 du 8 février 2017 sur les statistiques de l’Union suisse des arts et métiers sur des statistiques spécifiques à la profession de moniteur d’auto-école indépendant). d.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w:t>
      </w:r>
    </w:p>
    <w:p>
      <w:r>
        <w:t>A/121/2017 - 23/30 -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I.290/04 du 28 décembre 2004 et les références ; ATAS/250/2017 du 28 mars 2017 consid. 13).</w:t>
      </w:r>
    </w:p>
    <w:p>
      <w:r>
        <w:rPr>
          <w:b/>
        </w:rPr>
        <w:t>E. 6</w:t>
      </w:r>
    </w:p>
    <w:p>
      <w:r>
        <w:t>a. En l’espèce, la recourante prétend à tort que l’intimée s’est appuyée, pour rendre la décision attaquée, exclusivement sur l’appréciation de son médecin-conseil (soit le Dr Q______) sans même que celui-ci ne l’ait examinée. Il résulte en effet du dossier que l’intimée a été examinée à plusieurs reprises par des médecins d’arrondissement de l’intimée, soit, dans un premier temps, par les Dr H______ (les 23 novembre 2007, 23 juin 2008 et 3 avril 2009) et K______ (le 21 mai 2010), puis par le Dr Q______ (les 28 janvier 2013, 2 juillet 2013 et 8 décembre 2014). Ces médecins disposaient au surplus de la spécialisation dans la discipline médicale dont relevaient les atteints pertinentes à la santé de la recourante, à savoir l’orthopédie. Il ne saurait par ailleurs être mis en doute que lesdits médecins – en particulier le Dr Q______, qui est intervenu dans un second temps, plus pertinent pour juger d’une invalidité de la recourante – ont pris connaissance du dossier concernant cette dernière, et se sont donc prononcés en ayant une connaissance tant de l’anamnèse et des plaintes de la recourante que des nombreux rapports médicaux concernant ses atteintes au coude et au poignet gauches, soit des éléments pertinents auxquels tant le Dr Q______ qu’ensuite la Dre AA______ ont fait référence dans leurs appréciations respectives des 8 décembre 2014 et 2 mars 2017. b. Le 8 décembre 2014, lorsque le Dr Q______ s’est prononcé, il n’y avait pas dans le dossier de rapports médicaux relativement récents attestant que la recourante ne disposait d’aucune capacité de gain dans une activité adaptée. Le Dr Q______ s’est fondé, pour en admettre une nonobstant les douleurs exprimées par la recourante à la palpation, principalement sur la mobilité du coude gauche de cette dernière, telle qu’il l’avait lui-même constatée (soit une flexion dépassant largement les 130° et une extension complète et aucun trouble dans la pro-supination), l’absence d’amyotrophie du membre supérieur gauche (également mesurée par ledit médecin), l’absence, d’après l’examen neurologique, de limitations dans la fonction sensitive des doigts (avec toutefois un examen qualifié de difficile du côté gauche), une cicatrisation complète suite à l’opération du</w:t>
      </w:r>
    </w:p>
    <w:p>
      <w:r>
        <w:rPr>
          <w:b/>
        </w:rPr>
        <w:t>E. 9</w:t>
      </w:r>
    </w:p>
    <w:p>
      <w:r>
        <w:t>En conclusion, le recours doit être partiellement admis, la décision attaquée être annulée et la cause être renvoyée à l’intimée pour instruction complémentaire puis nouvelle décision.</w:t>
      </w:r>
    </w:p>
    <w:p>
      <w:r>
        <w:rPr>
          <w:b/>
        </w:rPr>
        <w:t>E. 10</w:t>
      </w:r>
    </w:p>
    <w:p>
      <w:r>
        <w:t>a. Dès lors qu’elle obtient partiellement gain de cause, la recourante a droit à une indemnité de procédure à titre de participation à ses frais et dépens (art. 61 let. g LPGA ; art. 6 du règlement sur les frais, émoluments et indemnités en matière administrative du 30 juillet 1986 [RFPA – E 5 10.03]), indemnité qui sera arrêtée à CHF 1'500.-. b. Pour le surplus, la procédure est gratuite (art. 61 let. a LPGA).</w:t>
      </w:r>
    </w:p>
    <w:p>
      <w:r>
        <w:t>* * * * * *</w:t>
      </w:r>
    </w:p>
    <w:p>
      <w:r>
        <w:t>A/121/2017 - 30/30 -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