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ATAS/666/2013 vom 26. Juni 2013</w:t>
      </w:r>
    </w:p>
    <w:p>
      <w:r>
        <w:t>GE Cour de justice, 2013-06-26, FR</w:t>
      </w:r>
    </w:p>
    <w:p>
      <w:r>
        <w:rPr>
          <w:b/>
        </w:rPr>
        <w:t xml:space="preserve">Quelle: </w:t>
      </w:r>
      <w:r>
        <w:t>https://mcp.opencaselaw.ch/entscheid/ge_gerichte_ATAS_666_2013</w:t>
      </w:r>
    </w:p>
    <w:p>
      <w:r>
        <w:t>FR: GE_GERICHTE ATAS/666/2013 du 26 juin 2013</w:t>
      </w:r>
    </w:p>
    <w:p>
      <w:r>
        <w:t>IT: GE_GERICHTE ATAS/666/2013 del 26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w:t>
      </w:r>
    </w:p>
    <w:p>
      <w:r>
        <w:t>A/3156/2012 - 8/11 -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 était fondé à refuser d'entrer en matière sur la nouvelle demande de prestations du recourant.</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t>A/3156/2012 - 9/11 -</w:t>
      </w:r>
    </w:p>
    <w:p>
      <w:r>
        <w:rPr>
          <w:b/>
        </w:rPr>
        <w:t>E. 5</w:t>
      </w:r>
    </w:p>
    <w:p>
      <w:r>
        <w:t>En l'espèce, le recourant a produit à l'appui de sa nouvelle demande de prestations une IRM lombaire réalisée en juillet 2011 et concluant notamment à une protrusion discale médiane et para-médiane gauche et droite L2-L3, probablement non significative, ainsi qu'à une arthrose sévère des massifs articulaires postérieurs des deux côtés prédominante L2-L3, L3-L4 et L4-L5. Selon le rapport y relatif, l'arthrose pourrait être à l'origine des symptômes présentés par l'assuré, à savoir des lombalgies basses avec irradiations dans les fesses et les deux cuisses. Le Dr A_________ a indiqué, dans son rapport du 4 juin 2012, les mêmes diagnostics et limitations que dans ses rapports antérieurs. Il a notamment attesté que les limitations fonctionnelles étaient valables depuis 2009. Néanmoins, il convient de relever qu'il a mentionné une nouvelle limitation en ce qui concerne la levée des bras en suspension au-dessus de l'horizontale, sans toutefois émettre un nouveau diagnostic en rapport avec ce handicap. Cette nouvelle limitation fonctionnelle avait été aussi mentionnée par le recourant dans sa nouvelle demande de prestations. Quant au SMR, la Dresse T_________ de ce service a considéré, dans son avis du 28 juin 2012, que le Dr A_________ n'avait pas apporté de preuve clinique d'une aggravation de l'état de santé de son patient. S'agissant de l'IRM lombaire du</w:t>
      </w:r>
    </w:p>
    <w:p>
      <w:r>
        <w:rPr>
          <w:b/>
        </w:rPr>
        <w:t>E. 7</w:t>
      </w:r>
    </w:p>
    <w:p>
      <w:r>
        <w:t>Le recourant obtenant gain de cause, une indemnité de 1'500 fr. lui est octroyée à titre de dépens.</w:t>
      </w:r>
    </w:p>
    <w:p>
      <w:r>
        <w:rPr>
          <w:b/>
        </w:rPr>
        <w:t>E. 8</w:t>
      </w:r>
    </w:p>
    <w:p>
      <w:r>
        <w:t>Dans la mesure où l'intimé succombe, l'émolument de justice de 200 fr. est mis à sa charge.</w:t>
      </w:r>
    </w:p>
    <w:p>
      <w:r>
        <w:t>A/3156/2012 - 11/11 -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